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D52B" w14:textId="77777777" w:rsid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</w:p>
    <w:p w14:paraId="0E6DA45F" w14:textId="3BE48151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MINISTÉRIO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PÚBLICO ESTADUAL DE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PERNAMBUCO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presentado pelo órgão de execução </w:t>
      </w:r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in fine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, em atuação na 2ª Promotoria de Justiça de Cabrobó, em exercício cumulativo na Promotoria de Justiça de 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Orocó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no uso de suas atribuições constitucionais (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arts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. 127 e 129, III, VI e IX, da CF) e legais (arts.25, IV, </w:t>
      </w:r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a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e 26, I, ambos da Lei 8.625/93; art. 4º, IV, alínea </w:t>
      </w:r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a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da Lei Complementar Estadual 12/94 e art. 201, V, VI e VIII, da Lei 8.069/90), com esteio no artigo 27, parágrafo único, inciso IV , da Lei 8.625/93, no artigo 3º da Resolução n.164/2017 do Conselho Nacional do Ministério Público e no artigo 53 da Resolução n. 003/2019 do Conselho Superior do Ministério Público de Pernambuco, e ainda:</w:t>
      </w:r>
    </w:p>
    <w:p w14:paraId="1F47978C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que a Constituição Federal, em seu artigo 6º, reconhece como direitos sociais a educação, a saúde, a alimentação, o trabalho, a moradia, o transporte, o lazer, a segurança, a previdência social,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a proteção à infância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e à maternidade e a assistência aos desamparados, na forma desta Constituição;</w:t>
      </w:r>
    </w:p>
    <w:p w14:paraId="188D90D5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proofErr w:type="gramStart"/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 que</w:t>
      </w:r>
      <w:proofErr w:type="gram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 a Lei Fundamental, em seu artigo 227, estabelece como dever da família,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da sociedade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e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do Estado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assegurar à criança, ao adolescente e ao jovem,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com absoluta prioridade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opressão;</w:t>
      </w:r>
    </w:p>
    <w:p w14:paraId="09F9ECFC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que o Estatuto da Criança e do Adolescente (art.131) erigiu o Conselho Tutelar à condição de órgão permanente e autônomo, não jurisdicional, encarregado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pela sociedade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de zelar pelo cumprimento dos direitos da criança e do adolescente, atendendo ao quanto disposto nos artigos 227, § 7º e 204, II, ambos da Norma Maior (exigência de participação democrática);</w:t>
      </w:r>
    </w:p>
    <w:p w14:paraId="54053C76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que o Conselho Tutelar é fruto de intensa mobilização da sociedade brasileira no contexto de luta pelas liberdades democráticas, sendo o escopo principal de sua criação a consolidação do Sistema de Garantia dos Direitos da Criança e do Adolescente e a implementação das políticas públicas correlatas no plano municipal;</w:t>
      </w:r>
    </w:p>
    <w:p w14:paraId="67ED6E8E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lastRenderedPageBreak/>
        <w:t>CONSIDERANDO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que o Conselho Tutelar constitui peça essencial ao escorreito funcionamento do Sistema de Garantia dos Direitos da Criança e do Adolescente, porquanto sua regular atuação permite 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desjudicializar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 e agilizar o atendimento prestado à população infanto-juvenil;</w:t>
      </w:r>
    </w:p>
    <w:p w14:paraId="1AB728D0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que, com o intuito de viabilizar o pleno exercício deste relevante mister, o legislador ordinário (art.134 do ECA) e o Conselho Nacional de Direitos da Criança (Resolução n. 170/2014) proclamam o dever legal dos municípios de prover o Conselho Tutelar com recursos materiais e humanos condizentes com a envergadura de suas funções;</w:t>
      </w:r>
    </w:p>
    <w:p w14:paraId="7FA56443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que, à luz destas premissas normativas, a Lei Orçamentária Municipal deverá estabelecer, preferencialmente, dotação específica para implantação, manutenção, funcionamento dos Conselhos Tutelares, bem como para o processo de escolha dos conselheiros tutelares, custeio com remuneração, formação continuada e execução de suas atividades;</w:t>
      </w:r>
    </w:p>
    <w:p w14:paraId="07046118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que a problemática da estruturação deficiente dos Conselhos Tutelares em expressivo número de municípios brasileiros despertou a atenção da Secretaria de Direitos Humanos da Presidência da República, a qual desenvolveu a ação nacional de “</w:t>
      </w:r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Equipagem dos Conselhos Tutelares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” com o objetivo de</w:t>
      </w:r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 “apoiar as prefeituras municipais nos processos de    qualificação da rede local, fortalecer os Conselhos Tutelares enquanto órgãos estratégicos do Sistema de Garantia de Direitos (SGD) e fomentar o acesso e o uso do Sistema de Informações para Infância e Adolescência (</w:t>
      </w:r>
      <w:proofErr w:type="spellStart"/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>Sipia</w:t>
      </w:r>
      <w:proofErr w:type="spellEnd"/>
      <w:r w:rsidRPr="00410A5B">
        <w:rPr>
          <w:rFonts w:ascii="Roboto" w:eastAsia="Times New Roman" w:hAnsi="Roboto" w:cs="Times New Roman"/>
          <w:i/>
          <w:iCs/>
          <w:color w:val="0A0A0A"/>
          <w:sz w:val="23"/>
          <w:szCs w:val="23"/>
          <w:lang w:eastAsia="pt-BR"/>
        </w:rPr>
        <w:t xml:space="preserve"> Web) junto aos conselheiros tutelares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”;</w:t>
      </w:r>
    </w:p>
    <w:p w14:paraId="4E0D87D8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 que o Município de 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Orocó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/PE foi contemplado com “Kit Conselho Tutelar”, custeado por verba oriunda da União, através do qual foi fornecido ao Conselho Tutelar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um veículo automotor, cinco computadores desktop, uma impressora multifuncional, um refrigerador e um bebedouro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para melhor desempenho de suas funções;</w:t>
      </w:r>
    </w:p>
    <w:p w14:paraId="78215729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 que, segundo previsão expressa constante no termo de doação, os bens em questão deverão ser utilizados exclusivamente pelo Conselho Tutelar, 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lastRenderedPageBreak/>
        <w:t>podendo ensejar, em caso de desvio de uso do bem, a retratação da doação e a consequente restituição dos bens ao ente doador;</w:t>
      </w:r>
    </w:p>
    <w:p w14:paraId="3219BD1A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 que no Município de 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Orocó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consoante se apurou em visita pessoal, a impressora multifuncional e três dos computadores desktops integrantes do “Kit” não se encontram disponíveis, inexistindo ainda sistema de refrigeração de ar e mobiliário apropriado;</w:t>
      </w:r>
    </w:p>
    <w:p w14:paraId="20785601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que a omissão ou recusa da Municipalidade em prover o Conselho Tutelar do suporte material e humano necessário ao seu funcionamento enseja a propositura de ação judicial de responsabilidade por ofensa aos direitos assegurados à criança e ao adolescente;</w:t>
      </w:r>
    </w:p>
    <w:p w14:paraId="438829BF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CONSIDERANDO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que ao Ministério Público compete promover o inquérito civil e a ação civil pública para a proteção dos interesses individuais, difusos ou coletivos relativos à infância e à adolescência, nos termos do artigo 127 da Constituição da República e do artigo 201, V, do Estatuto da Criança e do Adolescente.</w:t>
      </w:r>
    </w:p>
    <w:p w14:paraId="59B665DE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RESOLVE RECOMENDAR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AO MUNICÍPIO DE OROCÓ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que:</w:t>
      </w:r>
    </w:p>
    <w:p w14:paraId="456EDB8D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Destine para uso exclusivo do Conselho Tutelar os bens integrantes do “Kit Conselho Tutelar” doado pela Secretaria de Direitos Humanos da Presidência da República, sob pena de devolução destes à União;</w:t>
      </w:r>
    </w:p>
    <w:p w14:paraId="48E98B43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Abstenha-se, em consequência, de autorizar a utilização, a qualquer título, dos equipamentos supracitados por outras Secretarias ou órgãos do Município, ainda que transitoriamente;</w:t>
      </w:r>
    </w:p>
    <w:p w14:paraId="4290576A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Determine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no prazo de 10 (dez) dias úteis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a devolução imediata de qualquer item do “Kit Conselho Tutelar” que estiver sendo utilizado, a qualquer título, por outras Secretarias ou órgão municipais,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observado o item 7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;</w:t>
      </w:r>
    </w:p>
    <w:p w14:paraId="367661B0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Observe rigorosamente as demais exigências decorrentes do recebimento do “kit de equipagem” do Conselho Tutelar, notadamente implantação efetiva do Sistema de Informações para Infância e Adolescência (</w:t>
      </w: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Sipia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 xml:space="preserve"> Web) e capacitação dos Conselheiros Tutelares;</w:t>
      </w:r>
    </w:p>
    <w:p w14:paraId="768E7127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lastRenderedPageBreak/>
        <w:t>Assegure o fornecimento de combustível, a manutenção mecânica e demais meios necessários à continua utilização do veículo doado, sem prejuízo da instituição de mecanismos de controle assecuratórios de sua destinação para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t>uso exclusivo do serviço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;</w:t>
      </w:r>
    </w:p>
    <w:p w14:paraId="5197EBAA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Disponibilize àquele órgão um motorista regularmente habilitado, com dedicação exclusiva, ou lotado em outra unidade da Administração Pública Municipal,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t>desde que preste serviços em caráter prioritário junto ao Conselho Tutelar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;</w:t>
      </w:r>
    </w:p>
    <w:p w14:paraId="4C38B465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Nos períodos em que o automóvel ou quaisquer bens afetados ao Conselho Tutelar estiverem em manutenção ou, por qualquer razão, não puderem ser utilizados, providencie,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t>com a prioridade absoluta devida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que seja destinado àquele um veículo ou equipamento de reposição pelo tempo necessário à conclusão do reparo ou aquisição de novo bem, evitando assim solução de continuidade ao atendimento prestado pelo órgão;</w:t>
      </w:r>
    </w:p>
    <w:p w14:paraId="366D6627" w14:textId="77777777" w:rsidR="00410A5B" w:rsidRPr="00410A5B" w:rsidRDefault="00410A5B" w:rsidP="00410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Providencie a instalação de sistema de refrigeração de ar na sede do Conselho Tutelar, bem assim diligencie a colocação de mobiliário apropriado, a instalação de serviço de internet e a manutenção de aparelho telefônico em perfeito estado de funcionamento, condizente com o desempenho do mister; a fim de assegurar um atendimento prioritário e adequado às crianças e adolescentes em um ambiente condigno e salubre, compatível com as condições climáticas locais.</w:t>
      </w:r>
    </w:p>
    <w:p w14:paraId="1DF4A962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MINISTÉRIO PÚBLICO DO ESTADO DE PERNAMBUCO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u w:val="single"/>
          <w:lang w:eastAsia="pt-BR"/>
        </w:rPr>
        <w:t>ADVERTE QUE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a presente recomendação dá ciência e constitui em mora os destinatários quanto às providências solicitadas, podendo a omissão na adoção das medidas recomendadas implicar o manejo de todas as medidas administrativas e ações judiciais cabíveis contra os que se mantiverem inertes, inclusive com a responsabilização pessoal do Administrador Público, quando for o caso.</w:t>
      </w:r>
    </w:p>
    <w:p w14:paraId="4E12C574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Oportunamente, notifique-se o Prefeito Municipal, para que tenha ciência da Recomendação e informe, 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no prazo de 10(dez) dias úteis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, quais medidas serão adotadas pela Municipalidade para cumpri-la. 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t xml:space="preserve">Porventura o ente público repute inviável o atendimento imediato e integral da presente, deverá apresentar justificativa concreta e indicar cronograma pormenorizado que contemple a plena 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lastRenderedPageBreak/>
        <w:t>estruturação do Conselho Tutelar nos termos propostos, em prazo razoável, não superior a 120(cento e vinte) dias.</w:t>
      </w:r>
    </w:p>
    <w:p w14:paraId="412DDD77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u w:val="single"/>
          <w:lang w:eastAsia="pt-BR"/>
        </w:rPr>
        <w:t>Na hipótese de alegação de impossibilidade de devolução de bem integrante do “Kit Conselho Tutelar” no prazo fixado, deverá ser declinado o motivo e apresentada a documentação comprobatória do alegado. Em qualquer caso, deverá haver a reposição do bem faltante, conforme os itens 3 e 7 da Recomendação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.</w:t>
      </w:r>
    </w:p>
    <w:p w14:paraId="1795EE68" w14:textId="77777777" w:rsidR="00410A5B" w:rsidRPr="00410A5B" w:rsidRDefault="00410A5B" w:rsidP="00410A5B">
      <w:pPr>
        <w:shd w:val="clear" w:color="auto" w:fill="FFFFFF"/>
        <w:spacing w:after="390" w:line="390" w:lineRule="atLeast"/>
        <w:jc w:val="both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Em tempo, encaminhe-se cópia desta Recomendação às rádios locais e blogs da região. Igualmente, envie-se cópia da presente ao Conselho Tutelar, ao Conselho Municipal de Direitos da Criança e do Adolescente, ao Conselho Superior do Ministério Público, ao Centro de Apoio Operacional às Promotorias da Infância e Juventude, à Corregedoria Geral do Ministério Público e à Secretaria Geral do Ministério Público.</w:t>
      </w:r>
    </w:p>
    <w:p w14:paraId="6DE7CCE4" w14:textId="77777777" w:rsidR="00410A5B" w:rsidRPr="00410A5B" w:rsidRDefault="00410A5B" w:rsidP="00410A5B">
      <w:pPr>
        <w:shd w:val="clear" w:color="auto" w:fill="FFFFFF"/>
        <w:spacing w:after="390" w:line="390" w:lineRule="atLeast"/>
        <w:jc w:val="center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proofErr w:type="spellStart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Orocó</w:t>
      </w:r>
      <w:proofErr w:type="spellEnd"/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/PE, 03 de setembro de 2019.</w:t>
      </w:r>
    </w:p>
    <w:p w14:paraId="70AC411C" w14:textId="77777777" w:rsidR="00410A5B" w:rsidRPr="00410A5B" w:rsidRDefault="00410A5B" w:rsidP="00410A5B">
      <w:pPr>
        <w:shd w:val="clear" w:color="auto" w:fill="FFFFFF"/>
        <w:spacing w:after="390" w:line="390" w:lineRule="atLeast"/>
        <w:jc w:val="center"/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</w:pP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 xml:space="preserve">Jamile </w:t>
      </w:r>
      <w:proofErr w:type="spellStart"/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>Figueirôa</w:t>
      </w:r>
      <w:proofErr w:type="spellEnd"/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t xml:space="preserve"> Silveira</w:t>
      </w:r>
      <w:r w:rsidRPr="00410A5B">
        <w:rPr>
          <w:rFonts w:ascii="Roboto" w:eastAsia="Times New Roman" w:hAnsi="Roboto" w:cs="Times New Roman"/>
          <w:b/>
          <w:bCs/>
          <w:color w:val="0A0A0A"/>
          <w:sz w:val="23"/>
          <w:szCs w:val="23"/>
          <w:lang w:eastAsia="pt-BR"/>
        </w:rPr>
        <w:br/>
      </w:r>
      <w:r w:rsidRPr="00410A5B">
        <w:rPr>
          <w:rFonts w:ascii="Roboto" w:eastAsia="Times New Roman" w:hAnsi="Roboto" w:cs="Times New Roman"/>
          <w:b/>
          <w:bCs/>
          <w:i/>
          <w:iCs/>
          <w:color w:val="0A0A0A"/>
          <w:sz w:val="23"/>
          <w:szCs w:val="23"/>
          <w:lang w:eastAsia="pt-BR"/>
        </w:rPr>
        <w:t>Promotora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i/>
          <w:iCs/>
          <w:color w:val="0A0A0A"/>
          <w:sz w:val="23"/>
          <w:szCs w:val="23"/>
          <w:lang w:eastAsia="pt-BR"/>
        </w:rPr>
        <w:t>de</w:t>
      </w:r>
      <w:r w:rsidRPr="00410A5B">
        <w:rPr>
          <w:rFonts w:ascii="Roboto" w:eastAsia="Times New Roman" w:hAnsi="Roboto" w:cs="Times New Roman"/>
          <w:color w:val="0A0A0A"/>
          <w:sz w:val="23"/>
          <w:szCs w:val="23"/>
          <w:lang w:eastAsia="pt-BR"/>
        </w:rPr>
        <w:t> </w:t>
      </w:r>
      <w:r w:rsidRPr="00410A5B">
        <w:rPr>
          <w:rFonts w:ascii="Roboto" w:eastAsia="Times New Roman" w:hAnsi="Roboto" w:cs="Times New Roman"/>
          <w:b/>
          <w:bCs/>
          <w:i/>
          <w:iCs/>
          <w:color w:val="0A0A0A"/>
          <w:sz w:val="23"/>
          <w:szCs w:val="23"/>
          <w:lang w:eastAsia="pt-BR"/>
        </w:rPr>
        <w:t>Justiça</w:t>
      </w:r>
    </w:p>
    <w:p w14:paraId="4D1CD6F5" w14:textId="77777777" w:rsidR="002A250D" w:rsidRDefault="002A250D"/>
    <w:sectPr w:rsidR="002A2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F66"/>
    <w:multiLevelType w:val="multilevel"/>
    <w:tmpl w:val="700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B"/>
    <w:rsid w:val="00015B7F"/>
    <w:rsid w:val="002A250D"/>
    <w:rsid w:val="004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8412"/>
  <w15:chartTrackingRefBased/>
  <w15:docId w15:val="{27F8051A-3105-4119-982F-CB7D775C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0A5B"/>
    <w:rPr>
      <w:b/>
      <w:bCs/>
    </w:rPr>
  </w:style>
  <w:style w:type="character" w:styleId="nfase">
    <w:name w:val="Emphasis"/>
    <w:basedOn w:val="Fontepargpadro"/>
    <w:uiPriority w:val="20"/>
    <w:qFormat/>
    <w:rsid w:val="00410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C2295-D595-466C-8A33-C7A30A89E90D}"/>
</file>

<file path=customXml/itemProps2.xml><?xml version="1.0" encoding="utf-8"?>
<ds:datastoreItem xmlns:ds="http://schemas.openxmlformats.org/officeDocument/2006/customXml" ds:itemID="{A2891700-489B-4FFF-9BFD-05EE469D84FA}"/>
</file>

<file path=customXml/itemProps3.xml><?xml version="1.0" encoding="utf-8"?>
<ds:datastoreItem xmlns:ds="http://schemas.openxmlformats.org/officeDocument/2006/customXml" ds:itemID="{FA3B67CF-6E58-4E01-989B-06940CBF1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1437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SILVIA DA SILVA REIS</dc:creator>
  <cp:keywords/>
  <dc:description/>
  <cp:lastModifiedBy>FRANCISCA SILVIA DA SILVA REIS</cp:lastModifiedBy>
  <cp:revision>2</cp:revision>
  <dcterms:created xsi:type="dcterms:W3CDTF">2021-06-03T22:08:00Z</dcterms:created>
  <dcterms:modified xsi:type="dcterms:W3CDTF">2021-06-03T22:08:00Z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