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FC25" w14:textId="25CCAE23" w:rsidR="001413BE" w:rsidRDefault="00271501">
      <w:pPr>
        <w:pStyle w:val="Textbody"/>
        <w:widowControl w:val="0"/>
        <w:autoSpaceDE w:val="0"/>
        <w:spacing w:after="0" w:line="360" w:lineRule="auto"/>
        <w:jc w:val="both"/>
        <w:rPr>
          <w:bCs/>
          <w:color w:val="000000"/>
          <w:sz w:val="24"/>
          <w:szCs w:val="24"/>
          <w:lang w:eastAsia="pt-BR"/>
        </w:rPr>
      </w:pPr>
      <w:r>
        <w:rPr>
          <w:bCs/>
          <w:color w:val="000000"/>
          <w:sz w:val="24"/>
          <w:szCs w:val="24"/>
          <w:lang w:eastAsia="pt-BR"/>
        </w:rPr>
        <w:t>EXCELENTÍSSIMA SENHORA DOUTORA JU</w:t>
      </w:r>
      <w:r w:rsidR="003009D8">
        <w:rPr>
          <w:bCs/>
          <w:color w:val="000000"/>
          <w:sz w:val="24"/>
          <w:szCs w:val="24"/>
          <w:lang w:eastAsia="pt-BR"/>
        </w:rPr>
        <w:t>Í</w:t>
      </w:r>
      <w:r>
        <w:rPr>
          <w:bCs/>
          <w:color w:val="000000"/>
          <w:sz w:val="24"/>
          <w:szCs w:val="24"/>
          <w:lang w:eastAsia="pt-BR"/>
        </w:rPr>
        <w:t xml:space="preserve">ZA DE DIREITO DA </w:t>
      </w:r>
      <w:r w:rsidR="00142257">
        <w:rPr>
          <w:bCs/>
          <w:color w:val="000000"/>
          <w:sz w:val="24"/>
          <w:szCs w:val="24"/>
          <w:lang w:eastAsia="pt-BR"/>
        </w:rPr>
        <w:t>2</w:t>
      </w:r>
      <w:r w:rsidR="00142257">
        <w:rPr>
          <w:bCs/>
          <w:color w:val="000000"/>
          <w:sz w:val="22"/>
          <w:szCs w:val="22"/>
          <w:lang w:eastAsia="pt-BR"/>
        </w:rPr>
        <w:t>ª</w:t>
      </w:r>
      <w:r>
        <w:rPr>
          <w:bCs/>
          <w:color w:val="000000"/>
          <w:sz w:val="24"/>
          <w:szCs w:val="24"/>
          <w:lang w:eastAsia="pt-BR"/>
        </w:rPr>
        <w:t xml:space="preserve"> VARA CÍVEL DA COMARCA DE TERESINA/PI</w:t>
      </w:r>
    </w:p>
    <w:p w14:paraId="66636097" w14:textId="77777777" w:rsidR="00894867" w:rsidRDefault="00894867">
      <w:pPr>
        <w:pStyle w:val="Textbody"/>
        <w:spacing w:after="0" w:line="240" w:lineRule="auto"/>
        <w:jc w:val="both"/>
        <w:rPr>
          <w:bCs/>
          <w:sz w:val="24"/>
          <w:szCs w:val="24"/>
        </w:rPr>
      </w:pPr>
    </w:p>
    <w:p w14:paraId="2120A165" w14:textId="77777777" w:rsidR="00894867" w:rsidRDefault="00894867">
      <w:pPr>
        <w:pStyle w:val="Textbody"/>
        <w:spacing w:after="0" w:line="240" w:lineRule="auto"/>
        <w:jc w:val="both"/>
        <w:rPr>
          <w:bCs/>
          <w:sz w:val="24"/>
          <w:szCs w:val="24"/>
        </w:rPr>
      </w:pPr>
    </w:p>
    <w:p w14:paraId="4E66CAAE" w14:textId="77777777" w:rsidR="00894867" w:rsidRDefault="00894867">
      <w:pPr>
        <w:pStyle w:val="Textbody"/>
        <w:spacing w:after="0" w:line="240" w:lineRule="auto"/>
        <w:jc w:val="both"/>
        <w:rPr>
          <w:bCs/>
          <w:sz w:val="24"/>
          <w:szCs w:val="24"/>
        </w:rPr>
      </w:pPr>
    </w:p>
    <w:p w14:paraId="690362B3" w14:textId="77777777" w:rsidR="00894867" w:rsidRDefault="00894867">
      <w:pPr>
        <w:pStyle w:val="Textbody"/>
        <w:spacing w:after="0" w:line="240" w:lineRule="auto"/>
        <w:jc w:val="both"/>
        <w:rPr>
          <w:bCs/>
          <w:sz w:val="24"/>
          <w:szCs w:val="24"/>
        </w:rPr>
      </w:pPr>
    </w:p>
    <w:p w14:paraId="71BC0F4B" w14:textId="77777777" w:rsidR="00894867" w:rsidRDefault="00894867">
      <w:pPr>
        <w:pStyle w:val="Textbody"/>
        <w:spacing w:after="0" w:line="240" w:lineRule="auto"/>
        <w:jc w:val="both"/>
        <w:rPr>
          <w:bCs/>
          <w:sz w:val="24"/>
          <w:szCs w:val="24"/>
        </w:rPr>
      </w:pPr>
    </w:p>
    <w:p w14:paraId="60648125" w14:textId="77777777" w:rsidR="00894867" w:rsidRDefault="00894867">
      <w:pPr>
        <w:pStyle w:val="Textbody"/>
        <w:spacing w:after="0" w:line="240" w:lineRule="auto"/>
        <w:jc w:val="both"/>
        <w:rPr>
          <w:bCs/>
          <w:sz w:val="24"/>
          <w:szCs w:val="24"/>
        </w:rPr>
      </w:pPr>
    </w:p>
    <w:p w14:paraId="4DF02A0F" w14:textId="77777777" w:rsidR="00894867" w:rsidRDefault="00894867">
      <w:pPr>
        <w:pStyle w:val="Textbody"/>
        <w:spacing w:after="0" w:line="240" w:lineRule="auto"/>
        <w:jc w:val="both"/>
        <w:rPr>
          <w:bCs/>
          <w:sz w:val="24"/>
          <w:szCs w:val="24"/>
        </w:rPr>
      </w:pPr>
    </w:p>
    <w:p w14:paraId="05164976" w14:textId="77777777" w:rsidR="00894867" w:rsidRDefault="00894867">
      <w:pPr>
        <w:pStyle w:val="Textbody"/>
        <w:spacing w:after="0" w:line="240" w:lineRule="auto"/>
        <w:jc w:val="both"/>
        <w:rPr>
          <w:bCs/>
          <w:sz w:val="24"/>
          <w:szCs w:val="24"/>
        </w:rPr>
      </w:pPr>
    </w:p>
    <w:p w14:paraId="70D3FC2C" w14:textId="118A6375" w:rsidR="001413BE" w:rsidRDefault="00271501">
      <w:pPr>
        <w:pStyle w:val="Textbody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Processo Originário nº </w:t>
      </w:r>
      <w:r w:rsidR="000B469E" w:rsidRPr="000B469E">
        <w:rPr>
          <w:bCs/>
          <w:sz w:val="24"/>
          <w:szCs w:val="24"/>
        </w:rPr>
        <w:t>0019126-80.2010.8.18.0140</w:t>
      </w:r>
    </w:p>
    <w:p w14:paraId="70D3FC2D" w14:textId="3EF3E588" w:rsidR="001413BE" w:rsidRDefault="00271501">
      <w:pPr>
        <w:pStyle w:val="TableContents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Classe: Ação Civil Pública / </w:t>
      </w:r>
      <w:r w:rsidR="000B469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ª Vara Cível da Comarca de Teresina</w:t>
      </w:r>
    </w:p>
    <w:p w14:paraId="70D3FC2E" w14:textId="77777777" w:rsidR="001413BE" w:rsidRDefault="00271501">
      <w:pPr>
        <w:pStyle w:val="Textbody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Apelante: </w:t>
      </w:r>
      <w:r>
        <w:rPr>
          <w:rFonts w:cs="Arial"/>
          <w:bCs/>
          <w:sz w:val="24"/>
          <w:szCs w:val="24"/>
        </w:rPr>
        <w:t>PROGRAMA DE PROTEÇÃO E DEFESA DO CONSUMIDOR (PROCON)</w:t>
      </w:r>
    </w:p>
    <w:p w14:paraId="70D3FC30" w14:textId="3BF47D43" w:rsidR="001413BE" w:rsidRPr="008E5C07" w:rsidRDefault="00271501" w:rsidP="008E5C07">
      <w:pPr>
        <w:pStyle w:val="TableContents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Apelado</w:t>
      </w:r>
      <w:r w:rsidR="000B469E">
        <w:rPr>
          <w:bCs/>
          <w:sz w:val="24"/>
          <w:szCs w:val="24"/>
        </w:rPr>
        <w:t>(s)</w:t>
      </w:r>
      <w:r>
        <w:rPr>
          <w:bCs/>
          <w:sz w:val="24"/>
          <w:szCs w:val="24"/>
        </w:rPr>
        <w:t xml:space="preserve">: </w:t>
      </w:r>
      <w:bookmarkStart w:id="0" w:name="_Hlk78345256"/>
      <w:r w:rsidR="008E5C07" w:rsidRPr="008E5C07">
        <w:rPr>
          <w:bCs/>
          <w:sz w:val="24"/>
          <w:szCs w:val="24"/>
        </w:rPr>
        <w:t>BANCO BRADESCO S.A (SUCESSOR DO HSBC BANK BRASIL S.A.)</w:t>
      </w:r>
      <w:r w:rsidR="002845DE">
        <w:rPr>
          <w:bCs/>
          <w:sz w:val="24"/>
          <w:szCs w:val="24"/>
        </w:rPr>
        <w:t xml:space="preserve">; </w:t>
      </w:r>
      <w:r w:rsidR="008E5C07" w:rsidRPr="008E5C07">
        <w:rPr>
          <w:bCs/>
          <w:sz w:val="24"/>
          <w:szCs w:val="24"/>
        </w:rPr>
        <w:t>BANCO BRADESCARD (SUCESSOR BANCO IBA S.A.); BANCO LOSANGO</w:t>
      </w:r>
      <w:r w:rsidR="008E5C07">
        <w:rPr>
          <w:bCs/>
          <w:sz w:val="24"/>
          <w:szCs w:val="24"/>
        </w:rPr>
        <w:t xml:space="preserve"> </w:t>
      </w:r>
      <w:r w:rsidR="008E5C07" w:rsidRPr="008E5C07">
        <w:rPr>
          <w:bCs/>
          <w:sz w:val="24"/>
          <w:szCs w:val="24"/>
        </w:rPr>
        <w:t>S.A – BANCO MÚLTIPLO (SUCESSOR DO BANCO LOSANGO</w:t>
      </w:r>
      <w:r w:rsidR="008E5C07">
        <w:rPr>
          <w:bCs/>
          <w:sz w:val="24"/>
          <w:szCs w:val="24"/>
        </w:rPr>
        <w:t xml:space="preserve"> </w:t>
      </w:r>
      <w:r w:rsidR="008E5C07" w:rsidRPr="008E5C07">
        <w:rPr>
          <w:bCs/>
          <w:sz w:val="24"/>
          <w:szCs w:val="24"/>
        </w:rPr>
        <w:t>PROMOÇÕES DE VENDA LTDA) E OUTROS</w:t>
      </w:r>
      <w:bookmarkEnd w:id="0"/>
    </w:p>
    <w:p w14:paraId="70D3FC31" w14:textId="77777777" w:rsidR="001413BE" w:rsidRDefault="001413BE">
      <w:pPr>
        <w:pStyle w:val="Textbody"/>
        <w:spacing w:after="0" w:line="360" w:lineRule="auto"/>
        <w:jc w:val="both"/>
        <w:rPr>
          <w:sz w:val="24"/>
          <w:szCs w:val="24"/>
        </w:rPr>
      </w:pPr>
    </w:p>
    <w:p w14:paraId="70D3FC32" w14:textId="77777777" w:rsidR="001413BE" w:rsidRDefault="001413BE">
      <w:pPr>
        <w:pStyle w:val="Textbody"/>
        <w:spacing w:after="0" w:line="360" w:lineRule="auto"/>
        <w:jc w:val="both"/>
        <w:rPr>
          <w:sz w:val="24"/>
          <w:szCs w:val="24"/>
        </w:rPr>
      </w:pPr>
    </w:p>
    <w:p w14:paraId="70D3FC34" w14:textId="77777777" w:rsidR="001413BE" w:rsidRDefault="001413BE">
      <w:pPr>
        <w:pStyle w:val="Textbody"/>
        <w:spacing w:after="0" w:line="360" w:lineRule="auto"/>
        <w:jc w:val="both"/>
        <w:rPr>
          <w:sz w:val="24"/>
          <w:szCs w:val="24"/>
        </w:rPr>
      </w:pPr>
    </w:p>
    <w:p w14:paraId="70D3FC35" w14:textId="77777777" w:rsidR="001413BE" w:rsidRDefault="001413BE">
      <w:pPr>
        <w:pStyle w:val="Textbody"/>
        <w:spacing w:after="0" w:line="360" w:lineRule="auto"/>
        <w:jc w:val="both"/>
        <w:rPr>
          <w:sz w:val="24"/>
          <w:szCs w:val="24"/>
        </w:rPr>
      </w:pPr>
    </w:p>
    <w:p w14:paraId="378747C6" w14:textId="77777777" w:rsidR="003009D8" w:rsidRDefault="003009D8">
      <w:pPr>
        <w:pStyle w:val="Textbody"/>
        <w:spacing w:after="0" w:line="360" w:lineRule="auto"/>
        <w:jc w:val="both"/>
        <w:rPr>
          <w:sz w:val="24"/>
          <w:szCs w:val="24"/>
        </w:rPr>
      </w:pPr>
    </w:p>
    <w:p w14:paraId="70D3FC37" w14:textId="1407C0FB" w:rsidR="001413BE" w:rsidRDefault="00271501">
      <w:pPr>
        <w:pStyle w:val="Standard"/>
        <w:spacing w:line="360" w:lineRule="auto"/>
        <w:ind w:left="-12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785C">
        <w:rPr>
          <w:sz w:val="24"/>
          <w:szCs w:val="24"/>
        </w:rPr>
        <w:tab/>
      </w:r>
      <w:r>
        <w:rPr>
          <w:sz w:val="24"/>
          <w:szCs w:val="24"/>
        </w:rPr>
        <w:t xml:space="preserve">O </w:t>
      </w:r>
      <w:r>
        <w:rPr>
          <w:bCs/>
          <w:sz w:val="24"/>
          <w:szCs w:val="24"/>
        </w:rPr>
        <w:t>PROGRAMA DE PROTEÇÃO E DEFESA DO CONSUMIDOR (PROCON)</w:t>
      </w:r>
      <w:r>
        <w:rPr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por intermédio do Promotor de Justiça infra-assinado, no uso das suas atribuições constitucionais e legais, com sede na Avenida Lindolfo Monteiro, n° 911, Bairro de Fátima, CEP n° 64049-440, Teresina-PI,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vem, perante Vossa Excelência, interpor, tempestivamente, o presente recurso de  </w:t>
      </w:r>
    </w:p>
    <w:p w14:paraId="08831BC1" w14:textId="77777777" w:rsidR="009F74B5" w:rsidRDefault="009F74B5">
      <w:pPr>
        <w:pStyle w:val="Standard"/>
        <w:spacing w:line="360" w:lineRule="auto"/>
        <w:ind w:left="-12"/>
        <w:jc w:val="both"/>
      </w:pPr>
    </w:p>
    <w:p w14:paraId="70D3FC38" w14:textId="77777777" w:rsidR="001413BE" w:rsidRPr="008D5545" w:rsidRDefault="00271501">
      <w:pPr>
        <w:pStyle w:val="Ttulo3"/>
        <w:spacing w:before="0" w:after="0" w:line="360" w:lineRule="auto"/>
        <w:jc w:val="center"/>
        <w:rPr>
          <w:sz w:val="24"/>
          <w:szCs w:val="24"/>
        </w:rPr>
      </w:pPr>
      <w:r w:rsidRPr="008D5545">
        <w:rPr>
          <w:sz w:val="24"/>
          <w:szCs w:val="24"/>
        </w:rPr>
        <w:t>APELAÇÃO COM PEDIDO DE RESCONSIDERAÇÃO</w:t>
      </w:r>
    </w:p>
    <w:p w14:paraId="43D59E62" w14:textId="77777777" w:rsidR="009F74B5" w:rsidRDefault="009F74B5">
      <w:pPr>
        <w:pStyle w:val="Standard"/>
        <w:spacing w:line="360" w:lineRule="auto"/>
        <w:jc w:val="both"/>
        <w:rPr>
          <w:color w:val="000000"/>
          <w:sz w:val="24"/>
          <w:szCs w:val="24"/>
        </w:rPr>
      </w:pPr>
    </w:p>
    <w:p w14:paraId="1AD4C9E7" w14:textId="39490111" w:rsidR="00167290" w:rsidRDefault="00271501">
      <w:pPr>
        <w:pStyle w:val="Standard"/>
        <w:spacing w:line="360" w:lineRule="auto"/>
        <w:jc w:val="both"/>
      </w:pPr>
      <w:r>
        <w:rPr>
          <w:color w:val="000000"/>
          <w:sz w:val="24"/>
          <w:szCs w:val="24"/>
        </w:rPr>
        <w:t xml:space="preserve">Em vista à respeitável Sentença ID </w:t>
      </w:r>
      <w:r w:rsidR="005255AB">
        <w:rPr>
          <w:color w:val="000000"/>
          <w:sz w:val="24"/>
          <w:szCs w:val="24"/>
        </w:rPr>
        <w:t>1421</w:t>
      </w:r>
      <w:r w:rsidR="00B12AA1">
        <w:rPr>
          <w:color w:val="000000"/>
          <w:sz w:val="24"/>
          <w:szCs w:val="24"/>
        </w:rPr>
        <w:t>6452</w:t>
      </w:r>
      <w:r>
        <w:rPr>
          <w:b w:val="0"/>
          <w:color w:val="000000"/>
          <w:sz w:val="24"/>
          <w:szCs w:val="24"/>
        </w:rPr>
        <w:t>, que julgou improcedente os pedidos formulados na inicial, com fundamento no artigo 1.009 e seguintes do Novo Código de Processo Civil - NCPC, conforme razões anexas.</w:t>
      </w:r>
    </w:p>
    <w:p w14:paraId="40BABCCC" w14:textId="77777777" w:rsidR="009F74B5" w:rsidRDefault="009F74B5">
      <w:pPr>
        <w:pStyle w:val="Standard"/>
        <w:spacing w:line="360" w:lineRule="auto"/>
        <w:jc w:val="both"/>
      </w:pPr>
    </w:p>
    <w:p w14:paraId="70D3FC3B" w14:textId="77777777" w:rsidR="001413BE" w:rsidRDefault="00271501">
      <w:pPr>
        <w:pStyle w:val="Textbody"/>
        <w:widowControl w:val="0"/>
        <w:autoSpaceDE w:val="0"/>
        <w:spacing w:after="0" w:line="360" w:lineRule="auto"/>
        <w:jc w:val="both"/>
      </w:pPr>
      <w:r>
        <w:rPr>
          <w:rStyle w:val="StrongEmphasis"/>
          <w:bCs w:val="0"/>
          <w:sz w:val="24"/>
          <w:szCs w:val="24"/>
        </w:rPr>
        <w:tab/>
      </w:r>
      <w:r>
        <w:rPr>
          <w:rStyle w:val="StrongEmphasis"/>
          <w:bCs w:val="0"/>
          <w:sz w:val="24"/>
          <w:szCs w:val="24"/>
        </w:rPr>
        <w:tab/>
        <w:t>Requer-se que Vossa Excelência reconsidere a decisão, em vista dos argumentos apontados a seguir, e que, caso não o faça, a</w:t>
      </w:r>
      <w:r>
        <w:rPr>
          <w:rStyle w:val="StrongEmphasis"/>
          <w:sz w:val="24"/>
          <w:szCs w:val="24"/>
        </w:rPr>
        <w:t>pós as formalidades de praxe, requer-se que seja ordenada a remessa desses autos, com as Razões da Apelação, ao Egrégio Tribunal de Justiça do Estado do Piauí, para o seu processamento e julgamento.</w:t>
      </w:r>
    </w:p>
    <w:p w14:paraId="70D3FC3C" w14:textId="77777777" w:rsidR="001413BE" w:rsidRDefault="00271501">
      <w:pPr>
        <w:pStyle w:val="Standard"/>
        <w:widowControl w:val="0"/>
        <w:autoSpaceDE w:val="0"/>
        <w:spacing w:line="360" w:lineRule="auto"/>
        <w:jc w:val="both"/>
      </w:pPr>
      <w:r>
        <w:rPr>
          <w:rStyle w:val="StrongEmphasis"/>
          <w:sz w:val="24"/>
          <w:szCs w:val="24"/>
        </w:rPr>
        <w:tab/>
      </w:r>
      <w:r>
        <w:rPr>
          <w:rStyle w:val="StrongEmphasis"/>
          <w:sz w:val="24"/>
          <w:szCs w:val="24"/>
        </w:rPr>
        <w:tab/>
        <w:t>Outrossim, postula-se o recebimento do presente recurso em seu duplo efeito, de acordo com os artigos 1.012 e 1.013 do CPC/2015, bem como a intimação da parte contrária para, querendo, apresentar suas contrarrazões, no prazo de 15 (quinze) dias.</w:t>
      </w:r>
    </w:p>
    <w:p w14:paraId="318DCB50" w14:textId="77777777" w:rsidR="008D5545" w:rsidRDefault="00271501">
      <w:pPr>
        <w:pStyle w:val="Textbod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D3FC3D" w14:textId="2FB0CAA4" w:rsidR="001413BE" w:rsidRDefault="008D5545" w:rsidP="00BD77ED">
      <w:pPr>
        <w:pStyle w:val="Textbody"/>
        <w:spacing w:after="0"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1501">
        <w:rPr>
          <w:rStyle w:val="StrongEmphasis"/>
          <w:bCs w:val="0"/>
          <w:sz w:val="24"/>
          <w:szCs w:val="24"/>
        </w:rPr>
        <w:t>Nestes Termos,</w:t>
      </w:r>
    </w:p>
    <w:p w14:paraId="70D3FC3E" w14:textId="77777777" w:rsidR="001413BE" w:rsidRDefault="00271501" w:rsidP="00BD77ED">
      <w:pPr>
        <w:pStyle w:val="Textbody"/>
        <w:spacing w:after="0" w:line="240" w:lineRule="auto"/>
        <w:jc w:val="both"/>
      </w:pPr>
      <w:r>
        <w:rPr>
          <w:rStyle w:val="StrongEmphasis"/>
          <w:sz w:val="24"/>
          <w:szCs w:val="24"/>
        </w:rPr>
        <w:tab/>
      </w:r>
      <w:r>
        <w:rPr>
          <w:rStyle w:val="StrongEmphasis"/>
          <w:sz w:val="24"/>
          <w:szCs w:val="24"/>
        </w:rPr>
        <w:tab/>
      </w:r>
      <w:r>
        <w:rPr>
          <w:rStyle w:val="StrongEmphasis"/>
          <w:bCs w:val="0"/>
          <w:sz w:val="24"/>
          <w:szCs w:val="24"/>
        </w:rPr>
        <w:t>Pede Deferimento.</w:t>
      </w:r>
    </w:p>
    <w:p w14:paraId="33190A71" w14:textId="77777777" w:rsidR="008D5545" w:rsidRDefault="00271501">
      <w:pPr>
        <w:pStyle w:val="Standard"/>
        <w:spacing w:line="360" w:lineRule="auto"/>
        <w:ind w:left="-12"/>
        <w:jc w:val="both"/>
        <w:rPr>
          <w:rStyle w:val="StrongEmphasis"/>
          <w:bCs w:val="0"/>
          <w:color w:val="000000"/>
          <w:sz w:val="24"/>
          <w:szCs w:val="24"/>
        </w:rPr>
      </w:pPr>
      <w:r>
        <w:rPr>
          <w:rStyle w:val="StrongEmphasis"/>
          <w:bCs w:val="0"/>
          <w:color w:val="000000"/>
          <w:sz w:val="24"/>
          <w:szCs w:val="24"/>
        </w:rPr>
        <w:tab/>
      </w:r>
      <w:r>
        <w:rPr>
          <w:rStyle w:val="StrongEmphasis"/>
          <w:bCs w:val="0"/>
          <w:color w:val="000000"/>
          <w:sz w:val="24"/>
          <w:szCs w:val="24"/>
        </w:rPr>
        <w:tab/>
      </w:r>
      <w:r>
        <w:rPr>
          <w:rStyle w:val="StrongEmphasis"/>
          <w:bCs w:val="0"/>
          <w:color w:val="000000"/>
          <w:sz w:val="24"/>
          <w:szCs w:val="24"/>
        </w:rPr>
        <w:tab/>
      </w:r>
    </w:p>
    <w:p w14:paraId="70D3FC3F" w14:textId="6E57658E" w:rsidR="001413BE" w:rsidRDefault="00271501" w:rsidP="008D5545">
      <w:pPr>
        <w:pStyle w:val="Standard"/>
        <w:spacing w:line="360" w:lineRule="auto"/>
        <w:ind w:left="-12"/>
        <w:jc w:val="right"/>
      </w:pPr>
      <w:r>
        <w:rPr>
          <w:rStyle w:val="StrongEmphasis"/>
          <w:bCs w:val="0"/>
          <w:color w:val="000000"/>
          <w:sz w:val="24"/>
          <w:szCs w:val="24"/>
        </w:rPr>
        <w:t xml:space="preserve">Teresina, </w:t>
      </w:r>
      <w:r w:rsidR="006A785C">
        <w:rPr>
          <w:rStyle w:val="StrongEmphasis"/>
          <w:bCs w:val="0"/>
          <w:color w:val="000000"/>
          <w:sz w:val="24"/>
          <w:szCs w:val="24"/>
        </w:rPr>
        <w:t>30</w:t>
      </w:r>
      <w:r>
        <w:rPr>
          <w:rStyle w:val="StrongEmphasis"/>
          <w:bCs w:val="0"/>
          <w:color w:val="000000"/>
          <w:sz w:val="24"/>
          <w:szCs w:val="24"/>
        </w:rPr>
        <w:t xml:space="preserve"> de </w:t>
      </w:r>
      <w:r w:rsidR="00B12AA1">
        <w:rPr>
          <w:rStyle w:val="StrongEmphasis"/>
          <w:bCs w:val="0"/>
          <w:color w:val="000000"/>
          <w:sz w:val="24"/>
          <w:szCs w:val="24"/>
        </w:rPr>
        <w:t>julho</w:t>
      </w:r>
      <w:r>
        <w:rPr>
          <w:rStyle w:val="StrongEmphasis"/>
          <w:bCs w:val="0"/>
          <w:color w:val="000000"/>
          <w:sz w:val="24"/>
          <w:szCs w:val="24"/>
        </w:rPr>
        <w:t xml:space="preserve"> de 2021.</w:t>
      </w:r>
    </w:p>
    <w:p w14:paraId="70D3FC40" w14:textId="77777777" w:rsidR="001413BE" w:rsidRDefault="001413BE">
      <w:pPr>
        <w:pStyle w:val="Standard"/>
        <w:spacing w:line="360" w:lineRule="auto"/>
        <w:ind w:left="-12"/>
        <w:jc w:val="both"/>
      </w:pPr>
    </w:p>
    <w:p w14:paraId="70D3FC41" w14:textId="77777777" w:rsidR="001413BE" w:rsidRDefault="001413BE">
      <w:pPr>
        <w:pStyle w:val="Standard"/>
        <w:spacing w:line="360" w:lineRule="auto"/>
        <w:jc w:val="both"/>
        <w:rPr>
          <w:sz w:val="24"/>
          <w:szCs w:val="24"/>
        </w:rPr>
      </w:pPr>
    </w:p>
    <w:p w14:paraId="70D3FC42" w14:textId="77777777" w:rsidR="001413BE" w:rsidRDefault="001413BE">
      <w:pPr>
        <w:pStyle w:val="Textbody"/>
        <w:spacing w:after="0" w:line="360" w:lineRule="auto"/>
        <w:jc w:val="both"/>
        <w:rPr>
          <w:sz w:val="24"/>
          <w:szCs w:val="24"/>
        </w:rPr>
      </w:pPr>
    </w:p>
    <w:p w14:paraId="70D3FC43" w14:textId="77777777" w:rsidR="001413BE" w:rsidRDefault="00271501">
      <w:pPr>
        <w:pStyle w:val="TableContents"/>
        <w:jc w:val="center"/>
        <w:rPr>
          <w:sz w:val="24"/>
          <w:szCs w:val="24"/>
        </w:rPr>
      </w:pPr>
      <w:r>
        <w:rPr>
          <w:sz w:val="24"/>
          <w:szCs w:val="24"/>
        </w:rPr>
        <w:t>Nivaldo Ribeiro</w:t>
      </w:r>
    </w:p>
    <w:p w14:paraId="70D3FC44" w14:textId="77777777" w:rsidR="001413BE" w:rsidRDefault="00271501">
      <w:pPr>
        <w:pStyle w:val="TableContents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Promotor de Justiça</w:t>
      </w:r>
    </w:p>
    <w:p w14:paraId="70D3FC45" w14:textId="77777777" w:rsidR="001413BE" w:rsidRDefault="00271501">
      <w:pPr>
        <w:pStyle w:val="TableContents"/>
        <w:spacing w:line="360" w:lineRule="auto"/>
        <w:jc w:val="center"/>
      </w:pPr>
      <w:r>
        <w:rPr>
          <w:rStyle w:val="StrongEmphasis"/>
          <w:bCs w:val="0"/>
          <w:sz w:val="24"/>
          <w:szCs w:val="24"/>
        </w:rPr>
        <w:t>Coordenador Geral do PROCON/MP/PI</w:t>
      </w:r>
    </w:p>
    <w:p w14:paraId="70D3FC46" w14:textId="77777777" w:rsidR="001413BE" w:rsidRDefault="001413BE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70D3FC47" w14:textId="77777777" w:rsidR="001413BE" w:rsidRDefault="001413BE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70D3FC48" w14:textId="77777777" w:rsidR="001413BE" w:rsidRDefault="001413BE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70D3FC49" w14:textId="77777777" w:rsidR="001413BE" w:rsidRDefault="001413BE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70D3FC4A" w14:textId="77777777" w:rsidR="001413BE" w:rsidRDefault="001413BE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70D3FC4B" w14:textId="77777777" w:rsidR="001413BE" w:rsidRDefault="001413BE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70D3FC4C" w14:textId="77777777" w:rsidR="001413BE" w:rsidRDefault="001413BE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70D3FC4D" w14:textId="77777777" w:rsidR="001413BE" w:rsidRDefault="001413BE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70D3FC4E" w14:textId="77777777" w:rsidR="001413BE" w:rsidRDefault="001413BE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0B33A74D" w14:textId="3329FB2A" w:rsidR="00167290" w:rsidRDefault="00167290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6C953E11" w14:textId="77777777" w:rsidR="008D5545" w:rsidRDefault="008D5545">
      <w:pPr>
        <w:pStyle w:val="TableContents"/>
        <w:spacing w:line="360" w:lineRule="auto"/>
        <w:jc w:val="center"/>
        <w:rPr>
          <w:sz w:val="24"/>
          <w:szCs w:val="24"/>
        </w:rPr>
      </w:pPr>
    </w:p>
    <w:p w14:paraId="70D3FC53" w14:textId="091C5E9B" w:rsidR="001413BE" w:rsidRDefault="00271501">
      <w:pPr>
        <w:pStyle w:val="TableContents"/>
        <w:spacing w:before="57" w:after="57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RAZÕES RECURSAIS</w:t>
      </w:r>
    </w:p>
    <w:p w14:paraId="70D3FC54" w14:textId="77777777" w:rsidR="001413BE" w:rsidRDefault="001413BE">
      <w:pPr>
        <w:pStyle w:val="TableContents"/>
        <w:spacing w:before="57" w:after="57" w:line="360" w:lineRule="auto"/>
        <w:ind w:firstLine="851"/>
        <w:jc w:val="center"/>
        <w:rPr>
          <w:bCs/>
          <w:sz w:val="24"/>
          <w:szCs w:val="24"/>
        </w:rPr>
      </w:pPr>
    </w:p>
    <w:p w14:paraId="70D3FC55" w14:textId="77777777" w:rsidR="001413BE" w:rsidRDefault="001413BE">
      <w:pPr>
        <w:pStyle w:val="TableContents"/>
        <w:spacing w:before="57" w:after="57" w:line="360" w:lineRule="auto"/>
        <w:ind w:firstLine="851"/>
        <w:jc w:val="center"/>
        <w:rPr>
          <w:bCs/>
          <w:sz w:val="24"/>
          <w:szCs w:val="24"/>
        </w:rPr>
      </w:pPr>
    </w:p>
    <w:p w14:paraId="70D3FC56" w14:textId="5DC68C24" w:rsidR="001413BE" w:rsidRDefault="00271501">
      <w:pPr>
        <w:pStyle w:val="Textbody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Processo Originário nº </w:t>
      </w:r>
      <w:r w:rsidR="00B7358C" w:rsidRPr="00B7358C">
        <w:rPr>
          <w:bCs/>
          <w:sz w:val="24"/>
          <w:szCs w:val="24"/>
        </w:rPr>
        <w:t>0019126-80.2010.8.18.0140</w:t>
      </w:r>
    </w:p>
    <w:p w14:paraId="70D3FC57" w14:textId="532CF98C" w:rsidR="001413BE" w:rsidRDefault="00271501">
      <w:pPr>
        <w:pStyle w:val="TableContents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Classe: Ação Civil Pública / </w:t>
      </w:r>
      <w:r w:rsidR="00B7358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ª Vara Cível da Comarca de Teresina</w:t>
      </w:r>
    </w:p>
    <w:p w14:paraId="70D3FC58" w14:textId="77777777" w:rsidR="001413BE" w:rsidRDefault="00271501">
      <w:pPr>
        <w:pStyle w:val="Textbody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Apelante: </w:t>
      </w:r>
      <w:r>
        <w:rPr>
          <w:rFonts w:cs="Arial"/>
          <w:bCs/>
          <w:sz w:val="24"/>
          <w:szCs w:val="24"/>
        </w:rPr>
        <w:t>PROGRAMA DE PROTEÇÃO E DEFESA DO CONSUMIDOR (PROCON)</w:t>
      </w:r>
    </w:p>
    <w:p w14:paraId="70D3FC59" w14:textId="243A1A84" w:rsidR="001413BE" w:rsidRDefault="00271501">
      <w:pPr>
        <w:pStyle w:val="TableContents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Apelado</w:t>
      </w:r>
      <w:r w:rsidR="00B7358C">
        <w:rPr>
          <w:bCs/>
          <w:sz w:val="24"/>
          <w:szCs w:val="24"/>
        </w:rPr>
        <w:t>(s)</w:t>
      </w:r>
      <w:r>
        <w:rPr>
          <w:bCs/>
          <w:sz w:val="24"/>
          <w:szCs w:val="24"/>
        </w:rPr>
        <w:t xml:space="preserve">: </w:t>
      </w:r>
      <w:r w:rsidR="002845DE" w:rsidRPr="002845DE">
        <w:rPr>
          <w:bCs/>
          <w:sz w:val="24"/>
          <w:szCs w:val="24"/>
        </w:rPr>
        <w:t xml:space="preserve">BANCO </w:t>
      </w:r>
      <w:bookmarkStart w:id="1" w:name="_Hlk78464086"/>
      <w:r w:rsidR="002845DE" w:rsidRPr="002845DE">
        <w:rPr>
          <w:bCs/>
          <w:sz w:val="24"/>
          <w:szCs w:val="24"/>
        </w:rPr>
        <w:t>BRADESCO S.A (SUCESSOR DO HSBC BANK BRASIL S.A.); BANCO BRADESCARD (SUCESSOR BANCO IBA S.A.); BANCO LOSANGO S.A – BANCO MÚLTIPLO (SUCESSOR DO BANCO LOSANGO PROMOÇÕES DE VENDA LTDA)</w:t>
      </w:r>
      <w:bookmarkEnd w:id="1"/>
      <w:r w:rsidR="002845DE" w:rsidRPr="002845DE">
        <w:rPr>
          <w:bCs/>
          <w:sz w:val="24"/>
          <w:szCs w:val="24"/>
        </w:rPr>
        <w:t xml:space="preserve"> E OUTROS</w:t>
      </w:r>
    </w:p>
    <w:p w14:paraId="70D3FC5A" w14:textId="77777777" w:rsidR="001413BE" w:rsidRDefault="001413BE">
      <w:pPr>
        <w:pStyle w:val="TableContents"/>
        <w:spacing w:before="57" w:after="57" w:line="360" w:lineRule="auto"/>
        <w:ind w:firstLine="851"/>
        <w:jc w:val="center"/>
        <w:rPr>
          <w:bCs/>
          <w:sz w:val="24"/>
          <w:szCs w:val="24"/>
        </w:rPr>
      </w:pPr>
    </w:p>
    <w:p w14:paraId="70D3FC5B" w14:textId="77777777" w:rsidR="001413BE" w:rsidRDefault="001413BE">
      <w:pPr>
        <w:pStyle w:val="TableContents"/>
        <w:spacing w:before="57" w:after="57" w:line="360" w:lineRule="auto"/>
        <w:ind w:firstLine="851"/>
        <w:jc w:val="center"/>
        <w:rPr>
          <w:bCs/>
          <w:sz w:val="24"/>
          <w:szCs w:val="24"/>
        </w:rPr>
      </w:pPr>
    </w:p>
    <w:p w14:paraId="70D3FC5C" w14:textId="77777777" w:rsidR="001413BE" w:rsidRDefault="00271501">
      <w:pPr>
        <w:pStyle w:val="Textbody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EGRÉGIO TRIBUNAL DE JUSTIÇA DO ESTADO DO PIAUÍ</w:t>
      </w:r>
    </w:p>
    <w:p w14:paraId="70D3FC5D" w14:textId="77777777" w:rsidR="001413BE" w:rsidRDefault="00271501">
      <w:pPr>
        <w:pStyle w:val="Textbody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COLENDA CÂMARA CÍVEL</w:t>
      </w:r>
    </w:p>
    <w:p w14:paraId="70D3FC5E" w14:textId="77777777" w:rsidR="001413BE" w:rsidRDefault="00271501">
      <w:pPr>
        <w:pStyle w:val="Textbody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PRECLAROS DESEMBARGADORES</w:t>
      </w:r>
    </w:p>
    <w:p w14:paraId="70D3FC5F" w14:textId="77777777" w:rsidR="001413BE" w:rsidRDefault="001413BE">
      <w:pPr>
        <w:pStyle w:val="Textbody"/>
        <w:spacing w:after="0" w:line="360" w:lineRule="auto"/>
        <w:jc w:val="both"/>
      </w:pPr>
    </w:p>
    <w:p w14:paraId="70D3FC60" w14:textId="77777777" w:rsidR="001413BE" w:rsidRDefault="001413BE">
      <w:pPr>
        <w:pStyle w:val="Standard"/>
        <w:spacing w:line="360" w:lineRule="auto"/>
        <w:ind w:left="-12"/>
        <w:jc w:val="both"/>
      </w:pPr>
    </w:p>
    <w:tbl>
      <w:tblPr>
        <w:tblW w:w="8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0"/>
      </w:tblGrid>
      <w:tr w:rsidR="001413BE" w14:paraId="70D3FC62" w14:textId="77777777">
        <w:trPr>
          <w:trHeight w:val="241"/>
        </w:trPr>
        <w:tc>
          <w:tcPr>
            <w:tcW w:w="8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3FC61" w14:textId="77777777" w:rsidR="001413BE" w:rsidRDefault="00271501">
            <w:pPr>
              <w:pStyle w:val="Cabealho"/>
              <w:widowControl w:val="0"/>
              <w:spacing w:line="360" w:lineRule="auto"/>
              <w:jc w:val="both"/>
            </w:pPr>
            <w:r>
              <w:rPr>
                <w:bCs/>
                <w:sz w:val="24"/>
                <w:szCs w:val="24"/>
              </w:rPr>
              <w:t xml:space="preserve">1 – </w:t>
            </w:r>
            <w:r>
              <w:rPr>
                <w:bCs/>
                <w:color w:val="000000"/>
                <w:sz w:val="24"/>
                <w:szCs w:val="24"/>
              </w:rPr>
              <w:t>DOS PRESSUPOSTOS DE ADMISSIBILIDADE</w:t>
            </w:r>
          </w:p>
        </w:tc>
      </w:tr>
    </w:tbl>
    <w:p w14:paraId="70D3FC63" w14:textId="77777777" w:rsidR="001413BE" w:rsidRDefault="001413BE">
      <w:pPr>
        <w:pStyle w:val="Textbody"/>
        <w:spacing w:after="0" w:line="360" w:lineRule="auto"/>
        <w:jc w:val="both"/>
      </w:pPr>
    </w:p>
    <w:p w14:paraId="70D3FC64" w14:textId="77777777" w:rsidR="001413BE" w:rsidRDefault="00271501">
      <w:pPr>
        <w:pStyle w:val="Textbody"/>
        <w:spacing w:after="0" w:line="360" w:lineRule="auto"/>
        <w:jc w:val="both"/>
      </w:pPr>
      <w:r>
        <w:rPr>
          <w:rStyle w:val="StrongEmphasis"/>
          <w:sz w:val="24"/>
          <w:szCs w:val="24"/>
        </w:rPr>
        <w:t>1.1 – DO INTERESSE PROCESSUAL DE RECORRER:</w:t>
      </w:r>
    </w:p>
    <w:p w14:paraId="70D3FC65" w14:textId="77777777" w:rsidR="001413BE" w:rsidRDefault="00271501">
      <w:pPr>
        <w:pStyle w:val="Textbod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ab/>
        <w:t>A norma que se extrai do artigo 1.009 do CPC/2015 aduz que da sentença cabe Apelação.</w:t>
      </w:r>
    </w:p>
    <w:p w14:paraId="70D3FC66" w14:textId="77777777" w:rsidR="001413BE" w:rsidRDefault="00271501">
      <w:pPr>
        <w:pStyle w:val="Textbody"/>
        <w:spacing w:after="0" w:line="360" w:lineRule="auto"/>
        <w:jc w:val="both"/>
      </w:pPr>
      <w:r>
        <w:rPr>
          <w:rStyle w:val="StrongEmphasis"/>
          <w:bCs w:val="0"/>
          <w:sz w:val="24"/>
          <w:szCs w:val="24"/>
        </w:rPr>
        <w:tab/>
      </w:r>
      <w:r>
        <w:rPr>
          <w:rStyle w:val="StrongEmphasis"/>
          <w:bCs w:val="0"/>
          <w:sz w:val="24"/>
          <w:szCs w:val="24"/>
        </w:rPr>
        <w:tab/>
        <w:t>Nesse diapasão, tendo em vista o inconformismo do Apelante frente ao comando judicial que resolveu a demanda, a interposição do Recurso de Apelação em evidência é medida que se impõe, haja vista ser adequado e necessário.</w:t>
      </w:r>
    </w:p>
    <w:p w14:paraId="70D3FC67" w14:textId="77777777" w:rsidR="001413BE" w:rsidRDefault="001413BE">
      <w:pPr>
        <w:pStyle w:val="Textbody"/>
        <w:spacing w:after="0" w:line="360" w:lineRule="auto"/>
        <w:jc w:val="both"/>
      </w:pPr>
    </w:p>
    <w:p w14:paraId="70D3FC68" w14:textId="77777777" w:rsidR="001413BE" w:rsidRDefault="00271501">
      <w:pPr>
        <w:pStyle w:val="Textbody"/>
        <w:spacing w:after="0" w:line="360" w:lineRule="auto"/>
        <w:jc w:val="both"/>
      </w:pPr>
      <w:r>
        <w:rPr>
          <w:rStyle w:val="StrongEmphasis"/>
          <w:sz w:val="24"/>
          <w:szCs w:val="24"/>
        </w:rPr>
        <w:t>1.2 – DA TEMPESTIVIDADE:</w:t>
      </w:r>
    </w:p>
    <w:p w14:paraId="70D3FC69" w14:textId="77777777" w:rsidR="001413BE" w:rsidRDefault="00271501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De acordo com o artigo 1.003, §5°, do NCPC, o prazo para a interposição de recurso é de 15 (quinze) dias.</w:t>
      </w:r>
    </w:p>
    <w:p w14:paraId="70D3FC6B" w14:textId="191D1BFB" w:rsidR="001413BE" w:rsidRDefault="00271501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>
        <w:rPr>
          <w:b w:val="0"/>
          <w:sz w:val="24"/>
          <w:szCs w:val="24"/>
        </w:rPr>
        <w:tab/>
        <w:t>O Ministério Público, por sua vez, goza de prazo em dobro para se manifestar nos autos, que terá início a partir da sua intimação pessoal, com fulcro no artigo 180 c/c artigo 183, §1°, do NCPC.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70D3FC6C" w14:textId="50A33CAC" w:rsidR="001413BE" w:rsidRDefault="00271501">
      <w:pPr>
        <w:pStyle w:val="Textbody"/>
        <w:spacing w:after="0" w:line="36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00717A">
        <w:rPr>
          <w:b w:val="0"/>
          <w:sz w:val="24"/>
          <w:szCs w:val="24"/>
        </w:rPr>
        <w:t>D</w:t>
      </w:r>
      <w:r w:rsidR="001E1D27">
        <w:rPr>
          <w:b w:val="0"/>
          <w:sz w:val="24"/>
          <w:szCs w:val="24"/>
        </w:rPr>
        <w:t>essa forma, considerando que o</w:t>
      </w:r>
      <w:r>
        <w:rPr>
          <w:b w:val="0"/>
          <w:sz w:val="24"/>
          <w:szCs w:val="24"/>
        </w:rPr>
        <w:t xml:space="preserve"> Autor ficou ciente da intimação da Sentença na data de </w:t>
      </w:r>
      <w:r w:rsidRPr="009B7988">
        <w:rPr>
          <w:b w:val="0"/>
          <w:sz w:val="24"/>
          <w:szCs w:val="24"/>
          <w:highlight w:val="yellow"/>
        </w:rPr>
        <w:t>1</w:t>
      </w:r>
      <w:r w:rsidR="00FB19DC" w:rsidRPr="009B7988">
        <w:rPr>
          <w:b w:val="0"/>
          <w:sz w:val="24"/>
          <w:szCs w:val="24"/>
          <w:highlight w:val="yellow"/>
        </w:rPr>
        <w:t>8</w:t>
      </w:r>
      <w:r w:rsidRPr="009B7988">
        <w:rPr>
          <w:b w:val="0"/>
          <w:sz w:val="24"/>
          <w:szCs w:val="24"/>
          <w:highlight w:val="yellow"/>
        </w:rPr>
        <w:t>/</w:t>
      </w:r>
      <w:r w:rsidR="00FB19DC" w:rsidRPr="009B7988">
        <w:rPr>
          <w:b w:val="0"/>
          <w:sz w:val="24"/>
          <w:szCs w:val="24"/>
          <w:highlight w:val="yellow"/>
        </w:rPr>
        <w:t>06</w:t>
      </w:r>
      <w:r w:rsidRPr="009B7988">
        <w:rPr>
          <w:b w:val="0"/>
          <w:sz w:val="24"/>
          <w:szCs w:val="24"/>
          <w:highlight w:val="yellow"/>
        </w:rPr>
        <w:t>/202</w:t>
      </w:r>
      <w:r w:rsidR="00FB19DC" w:rsidRPr="009B7988">
        <w:rPr>
          <w:b w:val="0"/>
          <w:sz w:val="24"/>
          <w:szCs w:val="24"/>
          <w:highlight w:val="yellow"/>
        </w:rPr>
        <w:t>1</w:t>
      </w:r>
      <w:r>
        <w:rPr>
          <w:b w:val="0"/>
          <w:sz w:val="24"/>
          <w:szCs w:val="24"/>
        </w:rPr>
        <w:t xml:space="preserve">, </w:t>
      </w:r>
      <w:r w:rsidR="009B7988" w:rsidRPr="009B7988">
        <w:rPr>
          <w:b w:val="0"/>
          <w:sz w:val="24"/>
          <w:szCs w:val="24"/>
        </w:rPr>
        <w:t>tem-se por tempestivo o presente recurso, devendo ser acolhido.</w:t>
      </w:r>
    </w:p>
    <w:p w14:paraId="70D3FC6D" w14:textId="77777777" w:rsidR="001413BE" w:rsidRDefault="001413BE">
      <w:pPr>
        <w:pStyle w:val="Textbody"/>
        <w:spacing w:after="0" w:line="360" w:lineRule="auto"/>
        <w:jc w:val="both"/>
        <w:rPr>
          <w:b w:val="0"/>
          <w:sz w:val="24"/>
          <w:szCs w:val="24"/>
        </w:rPr>
      </w:pPr>
    </w:p>
    <w:p w14:paraId="70D3FC6E" w14:textId="77777777" w:rsidR="001413BE" w:rsidRDefault="00271501">
      <w:pPr>
        <w:pStyle w:val="Textbody"/>
        <w:spacing w:after="0" w:line="360" w:lineRule="auto"/>
        <w:jc w:val="both"/>
      </w:pPr>
      <w:r>
        <w:rPr>
          <w:rStyle w:val="StrongEmphasis"/>
          <w:sz w:val="24"/>
          <w:szCs w:val="24"/>
        </w:rPr>
        <w:t>1.3 – DO PREPARO:</w:t>
      </w:r>
    </w:p>
    <w:p w14:paraId="70D3FC6F" w14:textId="77777777" w:rsidR="001413BE" w:rsidRDefault="00271501">
      <w:pPr>
        <w:pStyle w:val="Textbody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O Apelante deixa de efetuar o preparo, uma vez que é dispensado de preparo os recursos interpostos pelo Ministério Público, conforme dispõe o artigo 1.007, §1°, do Novo Código de Processo Civil.</w:t>
      </w:r>
    </w:p>
    <w:p w14:paraId="70D3FC70" w14:textId="77777777" w:rsidR="001413BE" w:rsidRDefault="001413BE">
      <w:pPr>
        <w:pStyle w:val="Textbody"/>
        <w:spacing w:after="0" w:line="360" w:lineRule="auto"/>
        <w:jc w:val="both"/>
      </w:pPr>
    </w:p>
    <w:tbl>
      <w:tblPr>
        <w:tblW w:w="8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0"/>
      </w:tblGrid>
      <w:tr w:rsidR="001413BE" w14:paraId="70D3FC72" w14:textId="77777777">
        <w:trPr>
          <w:trHeight w:val="241"/>
        </w:trPr>
        <w:tc>
          <w:tcPr>
            <w:tcW w:w="8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3FC71" w14:textId="77777777" w:rsidR="001413BE" w:rsidRDefault="00271501">
            <w:pPr>
              <w:pStyle w:val="Cabealho"/>
              <w:widowControl w:val="0"/>
              <w:spacing w:line="360" w:lineRule="auto"/>
              <w:jc w:val="both"/>
            </w:pPr>
            <w:r>
              <w:rPr>
                <w:bCs/>
                <w:sz w:val="24"/>
                <w:szCs w:val="24"/>
              </w:rPr>
              <w:t xml:space="preserve">2 – </w:t>
            </w:r>
            <w:r>
              <w:rPr>
                <w:bCs/>
                <w:color w:val="000000"/>
                <w:sz w:val="24"/>
                <w:szCs w:val="24"/>
              </w:rPr>
              <w:t>DA SÍNTESE DO PROCESSO</w:t>
            </w:r>
          </w:p>
        </w:tc>
      </w:tr>
    </w:tbl>
    <w:p w14:paraId="70D3FC73" w14:textId="77777777" w:rsidR="001413BE" w:rsidRDefault="001413BE">
      <w:pPr>
        <w:pStyle w:val="Textbody"/>
        <w:spacing w:after="0" w:line="360" w:lineRule="auto"/>
        <w:jc w:val="both"/>
        <w:rPr>
          <w:sz w:val="24"/>
          <w:szCs w:val="24"/>
        </w:rPr>
      </w:pPr>
    </w:p>
    <w:p w14:paraId="23660BA2" w14:textId="1A2B47D5" w:rsidR="00567918" w:rsidRDefault="00271501" w:rsidP="00567918">
      <w:pPr>
        <w:pStyle w:val="Textbody"/>
        <w:spacing w:after="0" w:line="360" w:lineRule="auto"/>
        <w:jc w:val="both"/>
        <w:rPr>
          <w:b w:val="0"/>
          <w:sz w:val="24"/>
          <w:szCs w:val="24"/>
        </w:rPr>
      </w:pP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b w:val="0"/>
          <w:sz w:val="24"/>
          <w:szCs w:val="24"/>
        </w:rPr>
        <w:t xml:space="preserve">Trata-se de Ação Civil Pública ajuizada pelo PROCON/MPPI, </w:t>
      </w:r>
      <w:r w:rsidR="00567918" w:rsidRPr="00567918">
        <w:rPr>
          <w:b w:val="0"/>
          <w:sz w:val="24"/>
          <w:szCs w:val="24"/>
        </w:rPr>
        <w:t>que tem como objeto a abusividade da cobrança da Tarifa de Abertura de Crédito</w:t>
      </w:r>
      <w:r w:rsidR="00CF4453">
        <w:rPr>
          <w:b w:val="0"/>
          <w:sz w:val="24"/>
          <w:szCs w:val="24"/>
        </w:rPr>
        <w:t xml:space="preserve"> </w:t>
      </w:r>
      <w:r w:rsidR="00567918" w:rsidRPr="00567918">
        <w:rPr>
          <w:b w:val="0"/>
          <w:sz w:val="24"/>
          <w:szCs w:val="24"/>
        </w:rPr>
        <w:t>e Tarifa de Emissão de Boleto, após a regulamentação da matéria</w:t>
      </w:r>
      <w:r w:rsidR="002F18B2">
        <w:rPr>
          <w:b w:val="0"/>
          <w:sz w:val="24"/>
          <w:szCs w:val="24"/>
        </w:rPr>
        <w:t xml:space="preserve"> (R</w:t>
      </w:r>
      <w:r w:rsidR="002F18B2" w:rsidRPr="002F18B2">
        <w:rPr>
          <w:b w:val="0"/>
          <w:sz w:val="24"/>
          <w:szCs w:val="24"/>
        </w:rPr>
        <w:t>esoluções nº</w:t>
      </w:r>
      <w:r w:rsidR="002F18B2">
        <w:rPr>
          <w:b w:val="0"/>
          <w:sz w:val="24"/>
          <w:szCs w:val="24"/>
        </w:rPr>
        <w:t xml:space="preserve"> </w:t>
      </w:r>
      <w:r w:rsidR="002F18B2" w:rsidRPr="002F18B2">
        <w:rPr>
          <w:b w:val="0"/>
          <w:sz w:val="24"/>
          <w:szCs w:val="24"/>
        </w:rPr>
        <w:t>3.518/20</w:t>
      </w:r>
      <w:r w:rsidR="002F18B2">
        <w:rPr>
          <w:b w:val="0"/>
          <w:sz w:val="24"/>
          <w:szCs w:val="24"/>
        </w:rPr>
        <w:t>07 e</w:t>
      </w:r>
      <w:r w:rsidR="002F18B2" w:rsidRPr="002F18B2">
        <w:rPr>
          <w:b w:val="0"/>
          <w:sz w:val="24"/>
          <w:szCs w:val="24"/>
        </w:rPr>
        <w:t xml:space="preserve"> </w:t>
      </w:r>
      <w:r w:rsidR="006D5F10">
        <w:rPr>
          <w:b w:val="0"/>
          <w:sz w:val="24"/>
          <w:szCs w:val="24"/>
        </w:rPr>
        <w:t xml:space="preserve">n° </w:t>
      </w:r>
      <w:r w:rsidR="002F18B2" w:rsidRPr="002F18B2">
        <w:rPr>
          <w:b w:val="0"/>
          <w:sz w:val="24"/>
          <w:szCs w:val="24"/>
        </w:rPr>
        <w:t>3.693/2009</w:t>
      </w:r>
      <w:r w:rsidR="006D5F10">
        <w:rPr>
          <w:b w:val="0"/>
          <w:sz w:val="24"/>
          <w:szCs w:val="24"/>
        </w:rPr>
        <w:t xml:space="preserve"> do Conselho Monetário Nacional</w:t>
      </w:r>
      <w:r w:rsidR="002F18B2">
        <w:rPr>
          <w:b w:val="0"/>
          <w:sz w:val="24"/>
          <w:szCs w:val="24"/>
        </w:rPr>
        <w:t xml:space="preserve">) </w:t>
      </w:r>
      <w:r w:rsidR="00567918" w:rsidRPr="00567918">
        <w:rPr>
          <w:b w:val="0"/>
          <w:sz w:val="24"/>
          <w:szCs w:val="24"/>
        </w:rPr>
        <w:t xml:space="preserve">proibindo tais embolsos. </w:t>
      </w:r>
    </w:p>
    <w:p w14:paraId="288B20FC" w14:textId="4A3A5590" w:rsidR="000E044C" w:rsidRDefault="00E43E8B" w:rsidP="00AA5075">
      <w:pPr>
        <w:pStyle w:val="Textbody"/>
        <w:spacing w:after="0" w:line="360" w:lineRule="auto"/>
        <w:ind w:firstLine="14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Após a citação</w:t>
      </w:r>
      <w:r w:rsidR="00567918" w:rsidRPr="00567918">
        <w:rPr>
          <w:b w:val="0"/>
          <w:sz w:val="24"/>
          <w:szCs w:val="24"/>
        </w:rPr>
        <w:t xml:space="preserve">, todos os Réus contestaram a ação. </w:t>
      </w:r>
      <w:r w:rsidR="000E044C" w:rsidRPr="000E044C">
        <w:rPr>
          <w:b w:val="0"/>
          <w:sz w:val="24"/>
          <w:szCs w:val="24"/>
        </w:rPr>
        <w:t xml:space="preserve"> </w:t>
      </w:r>
    </w:p>
    <w:p w14:paraId="679B1F52" w14:textId="77777777" w:rsidR="000E044C" w:rsidRDefault="000E044C" w:rsidP="000E044C">
      <w:pPr>
        <w:pStyle w:val="Textbody"/>
        <w:spacing w:after="0" w:line="360" w:lineRule="auto"/>
        <w:ind w:firstLine="1418"/>
        <w:jc w:val="both"/>
        <w:rPr>
          <w:b w:val="0"/>
          <w:sz w:val="24"/>
          <w:szCs w:val="24"/>
        </w:rPr>
      </w:pPr>
      <w:r w:rsidRPr="000E044C">
        <w:rPr>
          <w:b w:val="0"/>
          <w:sz w:val="24"/>
          <w:szCs w:val="24"/>
        </w:rPr>
        <w:t xml:space="preserve">O PROCON/MPPI apresentou Réplica às contestações, fls. 493/508. </w:t>
      </w:r>
    </w:p>
    <w:p w14:paraId="7BC0489E" w14:textId="31FABC26" w:rsidR="000E044C" w:rsidRDefault="002063AD" w:rsidP="00E43E8B">
      <w:pPr>
        <w:pStyle w:val="Textbody"/>
        <w:spacing w:after="0" w:line="360" w:lineRule="auto"/>
        <w:ind w:firstLine="14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Posteriormente, o</w:t>
      </w:r>
      <w:r w:rsidR="00E43E8B">
        <w:rPr>
          <w:b w:val="0"/>
          <w:sz w:val="24"/>
          <w:szCs w:val="24"/>
        </w:rPr>
        <w:t>s</w:t>
      </w:r>
      <w:r w:rsidR="000E044C" w:rsidRPr="000E044C">
        <w:rPr>
          <w:b w:val="0"/>
          <w:sz w:val="24"/>
          <w:szCs w:val="24"/>
        </w:rPr>
        <w:t xml:space="preserve"> Réus Banco Itaú, Banco Fiat e Banco Volkswagen aderiram ao Termo de Ajustamento de Conduta, extinguindo para estes a ação.</w:t>
      </w:r>
      <w:r w:rsidR="00CB3D52">
        <w:rPr>
          <w:b w:val="0"/>
          <w:sz w:val="24"/>
          <w:szCs w:val="24"/>
        </w:rPr>
        <w:t xml:space="preserve"> Sendo que</w:t>
      </w:r>
      <w:r w:rsidR="00E43E8B">
        <w:rPr>
          <w:b w:val="0"/>
          <w:sz w:val="24"/>
          <w:szCs w:val="24"/>
        </w:rPr>
        <w:t xml:space="preserve"> </w:t>
      </w:r>
      <w:r w:rsidR="00CB3D52">
        <w:rPr>
          <w:b w:val="0"/>
          <w:sz w:val="24"/>
          <w:szCs w:val="24"/>
        </w:rPr>
        <w:t>n</w:t>
      </w:r>
      <w:r w:rsidR="000E044C" w:rsidRPr="000E044C">
        <w:rPr>
          <w:b w:val="0"/>
          <w:sz w:val="24"/>
          <w:szCs w:val="24"/>
        </w:rPr>
        <w:t>o referido ajustamento de conduta, aos Compromissários estabeleceu-se a obrigação de excluir as tarifas dos boletos vincendos e/ou de ressarcir os valores pagos a este título após a proibição normativa da cobrança.</w:t>
      </w:r>
    </w:p>
    <w:p w14:paraId="5DC474A2" w14:textId="03015936" w:rsidR="000E044C" w:rsidRDefault="000E044C" w:rsidP="00CB3D52">
      <w:pPr>
        <w:pStyle w:val="Textbody"/>
        <w:spacing w:after="0" w:line="360" w:lineRule="auto"/>
        <w:ind w:firstLine="1463"/>
        <w:jc w:val="both"/>
        <w:rPr>
          <w:b w:val="0"/>
          <w:sz w:val="24"/>
          <w:szCs w:val="24"/>
        </w:rPr>
      </w:pPr>
      <w:r w:rsidRPr="000E044C">
        <w:rPr>
          <w:b w:val="0"/>
          <w:sz w:val="24"/>
          <w:szCs w:val="24"/>
        </w:rPr>
        <w:t xml:space="preserve">Após o contraditório, remeteu-se os autos ao Centro Judiciário de Soluções de Procedimentos de Conciliação – CEJUSC. Contudo, </w:t>
      </w:r>
      <w:r w:rsidR="004E7F06">
        <w:rPr>
          <w:b w:val="0"/>
          <w:sz w:val="24"/>
          <w:szCs w:val="24"/>
        </w:rPr>
        <w:t xml:space="preserve">em audiência de conciliação, </w:t>
      </w:r>
      <w:r w:rsidRPr="000E044C">
        <w:rPr>
          <w:b w:val="0"/>
          <w:sz w:val="24"/>
          <w:szCs w:val="24"/>
        </w:rPr>
        <w:t xml:space="preserve">os peticionantes informaram não ter interesse em assinar o Termo de Ajustamento. </w:t>
      </w:r>
    </w:p>
    <w:p w14:paraId="70D3FC77" w14:textId="619CF734" w:rsidR="001413BE" w:rsidRDefault="000E044C" w:rsidP="000E044C">
      <w:pPr>
        <w:pStyle w:val="Textbody"/>
        <w:spacing w:after="0" w:line="360" w:lineRule="auto"/>
        <w:ind w:firstLine="1418"/>
        <w:jc w:val="both"/>
        <w:rPr>
          <w:b w:val="0"/>
          <w:sz w:val="24"/>
          <w:szCs w:val="24"/>
        </w:rPr>
      </w:pPr>
      <w:r w:rsidRPr="000E044C">
        <w:rPr>
          <w:b w:val="0"/>
          <w:sz w:val="24"/>
          <w:szCs w:val="24"/>
        </w:rPr>
        <w:lastRenderedPageBreak/>
        <w:t>Infrutífera a tentativa de acordo, foi determinado que se aguardasse o prazo para oferecimento de contestação, às fls. 966-V.</w:t>
      </w:r>
    </w:p>
    <w:p w14:paraId="59F2D907" w14:textId="446B3A11" w:rsidR="000E044C" w:rsidRDefault="000E044C" w:rsidP="000E044C">
      <w:pPr>
        <w:pStyle w:val="Textbody"/>
        <w:spacing w:after="0" w:line="360" w:lineRule="auto"/>
        <w:ind w:firstLine="1418"/>
        <w:jc w:val="both"/>
        <w:rPr>
          <w:b w:val="0"/>
          <w:sz w:val="24"/>
          <w:szCs w:val="24"/>
        </w:rPr>
      </w:pPr>
      <w:r w:rsidRPr="000E044C">
        <w:rPr>
          <w:b w:val="0"/>
          <w:sz w:val="24"/>
          <w:szCs w:val="24"/>
        </w:rPr>
        <w:t>Em</w:t>
      </w:r>
      <w:r w:rsidR="008C7B3D">
        <w:rPr>
          <w:b w:val="0"/>
          <w:sz w:val="24"/>
          <w:szCs w:val="24"/>
        </w:rPr>
        <w:t xml:space="preserve"> </w:t>
      </w:r>
      <w:r w:rsidRPr="000E044C">
        <w:rPr>
          <w:b w:val="0"/>
          <w:sz w:val="24"/>
          <w:szCs w:val="24"/>
        </w:rPr>
        <w:t xml:space="preserve">manifestação protocolada eletronicamente, os peticionantes acertadamente afirmaram que todos os réus já contestaram a ação, requerendo o recebimento da manifestação como Alegações Finais. </w:t>
      </w:r>
    </w:p>
    <w:p w14:paraId="696CF621" w14:textId="142B3DE9" w:rsidR="000E044C" w:rsidRDefault="000E044C" w:rsidP="000E044C">
      <w:pPr>
        <w:pStyle w:val="Textbody"/>
        <w:spacing w:after="0" w:line="360" w:lineRule="auto"/>
        <w:ind w:firstLine="1418"/>
        <w:jc w:val="both"/>
        <w:rPr>
          <w:b w:val="0"/>
          <w:sz w:val="24"/>
          <w:szCs w:val="24"/>
        </w:rPr>
      </w:pPr>
      <w:r w:rsidRPr="000E044C">
        <w:rPr>
          <w:b w:val="0"/>
          <w:sz w:val="24"/>
          <w:szCs w:val="24"/>
        </w:rPr>
        <w:t xml:space="preserve">Sustentaram, preliminarmente, a inépcia da inicial por ausência da causa de pedir, requerendo a extinção da ação sem julgamento do mérito. </w:t>
      </w:r>
    </w:p>
    <w:p w14:paraId="2FC6DCA1" w14:textId="2CB2C07D" w:rsidR="000E044C" w:rsidRDefault="000E044C" w:rsidP="000E044C">
      <w:pPr>
        <w:pStyle w:val="Textbody"/>
        <w:spacing w:after="0" w:line="360" w:lineRule="auto"/>
        <w:ind w:firstLine="1418"/>
        <w:jc w:val="both"/>
        <w:rPr>
          <w:b w:val="0"/>
          <w:sz w:val="24"/>
          <w:szCs w:val="24"/>
        </w:rPr>
      </w:pPr>
      <w:r w:rsidRPr="000E044C">
        <w:rPr>
          <w:b w:val="0"/>
          <w:sz w:val="24"/>
          <w:szCs w:val="24"/>
        </w:rPr>
        <w:t xml:space="preserve">Os alegantes defenderam, ainda, a improcedência da ação, haja vista a legalidade e não abusividade das tarifas em comento até a edição das Resoluções do CMN nº 3.518/2007 e n° 3.693/2009. </w:t>
      </w:r>
      <w:r w:rsidR="004E7F06">
        <w:rPr>
          <w:b w:val="0"/>
          <w:sz w:val="24"/>
          <w:szCs w:val="24"/>
        </w:rPr>
        <w:t>Ressaltaram</w:t>
      </w:r>
      <w:r w:rsidRPr="000E044C">
        <w:rPr>
          <w:b w:val="0"/>
          <w:sz w:val="24"/>
          <w:szCs w:val="24"/>
        </w:rPr>
        <w:t xml:space="preserve"> que não há indícios de que mantiveram a previsão de cobrança da TAC e da TE</w:t>
      </w:r>
      <w:r w:rsidR="000D6E7E">
        <w:rPr>
          <w:b w:val="0"/>
          <w:sz w:val="24"/>
          <w:szCs w:val="24"/>
        </w:rPr>
        <w:t>C</w:t>
      </w:r>
      <w:r w:rsidRPr="000E044C">
        <w:rPr>
          <w:b w:val="0"/>
          <w:sz w:val="24"/>
          <w:szCs w:val="24"/>
        </w:rPr>
        <w:t xml:space="preserve"> após a edição das referidas normas. </w:t>
      </w:r>
    </w:p>
    <w:p w14:paraId="1D96B496" w14:textId="77777777" w:rsidR="009D30BC" w:rsidRDefault="000E044C" w:rsidP="009D30BC">
      <w:pPr>
        <w:pStyle w:val="Textbody"/>
        <w:spacing w:after="0" w:line="360" w:lineRule="auto"/>
        <w:ind w:firstLine="1418"/>
        <w:jc w:val="both"/>
        <w:rPr>
          <w:b w:val="0"/>
          <w:sz w:val="24"/>
          <w:szCs w:val="24"/>
        </w:rPr>
      </w:pPr>
      <w:r w:rsidRPr="000E044C">
        <w:rPr>
          <w:b w:val="0"/>
          <w:sz w:val="24"/>
          <w:szCs w:val="24"/>
        </w:rPr>
        <w:t>Os autos foram remetidos ao Autor, na data de 26/06/2019, às fls. 978, para manifestação no prazo de 15 (quinze) dias.</w:t>
      </w:r>
      <w:r w:rsidR="00E5302D">
        <w:rPr>
          <w:b w:val="0"/>
          <w:sz w:val="24"/>
          <w:szCs w:val="24"/>
        </w:rPr>
        <w:t xml:space="preserve"> </w:t>
      </w:r>
      <w:r w:rsidR="001C6183">
        <w:rPr>
          <w:b w:val="0"/>
          <w:sz w:val="24"/>
          <w:szCs w:val="24"/>
        </w:rPr>
        <w:t>Logo</w:t>
      </w:r>
      <w:r w:rsidR="00E5302D">
        <w:rPr>
          <w:b w:val="0"/>
          <w:sz w:val="24"/>
          <w:szCs w:val="24"/>
        </w:rPr>
        <w:t>, o</w:t>
      </w:r>
      <w:r w:rsidR="002B2365">
        <w:rPr>
          <w:b w:val="0"/>
          <w:sz w:val="24"/>
          <w:szCs w:val="24"/>
        </w:rPr>
        <w:t xml:space="preserve"> PROCON/MPPI expôs</w:t>
      </w:r>
      <w:r w:rsidR="00E5302D">
        <w:rPr>
          <w:b w:val="0"/>
          <w:sz w:val="24"/>
          <w:szCs w:val="24"/>
        </w:rPr>
        <w:t xml:space="preserve"> tempestivamente</w:t>
      </w:r>
      <w:r w:rsidR="002B2365">
        <w:rPr>
          <w:b w:val="0"/>
          <w:sz w:val="24"/>
          <w:szCs w:val="24"/>
        </w:rPr>
        <w:t xml:space="preserve"> </w:t>
      </w:r>
      <w:r w:rsidR="00E5302D">
        <w:rPr>
          <w:b w:val="0"/>
          <w:sz w:val="24"/>
          <w:szCs w:val="24"/>
        </w:rPr>
        <w:t xml:space="preserve">a </w:t>
      </w:r>
      <w:r w:rsidR="002B2365">
        <w:rPr>
          <w:b w:val="0"/>
          <w:sz w:val="24"/>
          <w:szCs w:val="24"/>
        </w:rPr>
        <w:t xml:space="preserve">Manifestação (ID 6816417 – </w:t>
      </w:r>
      <w:r w:rsidR="002063AD">
        <w:rPr>
          <w:b w:val="0"/>
          <w:sz w:val="24"/>
          <w:szCs w:val="24"/>
        </w:rPr>
        <w:t>Fl</w:t>
      </w:r>
      <w:r w:rsidR="002B2365">
        <w:rPr>
          <w:b w:val="0"/>
          <w:sz w:val="24"/>
          <w:szCs w:val="24"/>
        </w:rPr>
        <w:t>s. 40/46)</w:t>
      </w:r>
      <w:r w:rsidR="00E5302D">
        <w:rPr>
          <w:b w:val="0"/>
          <w:sz w:val="24"/>
          <w:szCs w:val="24"/>
        </w:rPr>
        <w:t>.</w:t>
      </w:r>
    </w:p>
    <w:p w14:paraId="42B3EF0F" w14:textId="60CFC3C8" w:rsidR="001C6183" w:rsidRDefault="00E5302D" w:rsidP="009D30BC">
      <w:pPr>
        <w:pStyle w:val="Textbody"/>
        <w:spacing w:after="0" w:line="360" w:lineRule="auto"/>
        <w:ind w:firstLine="14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Ocorre que em Despacho (ID  9712731), o Douto Juízo determinou </w:t>
      </w:r>
      <w:r w:rsidR="001C6183" w:rsidRPr="001C6183">
        <w:rPr>
          <w:b w:val="0"/>
          <w:sz w:val="24"/>
          <w:szCs w:val="24"/>
        </w:rPr>
        <w:t>a abertura de vista dos autos ao Ministério Público para manifestação sobre os Recursos Especiais n° 1.257.331 e 1.255.573, do STJ.</w:t>
      </w:r>
    </w:p>
    <w:p w14:paraId="5152A315" w14:textId="1F1F251F" w:rsidR="000E044C" w:rsidRDefault="00271501">
      <w:pPr>
        <w:pStyle w:val="Textbody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1C6183">
        <w:rPr>
          <w:b w:val="0"/>
          <w:sz w:val="24"/>
          <w:szCs w:val="24"/>
        </w:rPr>
        <w:t xml:space="preserve">Assim, o PROCON/MPPI peticionou Manifestação (ID 10701976) requerendo </w:t>
      </w:r>
      <w:r w:rsidR="001C6183" w:rsidRPr="001C6183">
        <w:rPr>
          <w:b w:val="0"/>
          <w:sz w:val="24"/>
          <w:szCs w:val="24"/>
        </w:rPr>
        <w:t>o prosseguimento do feito com o julgamento antecipado dos pedidos</w:t>
      </w:r>
      <w:r w:rsidR="00F127A2">
        <w:rPr>
          <w:b w:val="0"/>
          <w:sz w:val="24"/>
          <w:szCs w:val="24"/>
        </w:rPr>
        <w:t xml:space="preserve">, ressaltando </w:t>
      </w:r>
      <w:r w:rsidR="00F127A2" w:rsidRPr="00F127A2">
        <w:rPr>
          <w:b w:val="0"/>
          <w:sz w:val="24"/>
          <w:szCs w:val="24"/>
        </w:rPr>
        <w:t xml:space="preserve">a desnecessidade de produção de </w:t>
      </w:r>
      <w:r w:rsidR="006C6932">
        <w:rPr>
          <w:b w:val="0"/>
          <w:sz w:val="24"/>
          <w:szCs w:val="24"/>
        </w:rPr>
        <w:t xml:space="preserve">outras </w:t>
      </w:r>
      <w:r w:rsidR="00F127A2" w:rsidRPr="00F127A2">
        <w:rPr>
          <w:b w:val="0"/>
          <w:sz w:val="24"/>
          <w:szCs w:val="24"/>
        </w:rPr>
        <w:t>prova</w:t>
      </w:r>
      <w:r w:rsidR="006C6932">
        <w:rPr>
          <w:b w:val="0"/>
          <w:sz w:val="24"/>
          <w:szCs w:val="24"/>
        </w:rPr>
        <w:t>s</w:t>
      </w:r>
      <w:r w:rsidR="001C6183">
        <w:rPr>
          <w:b w:val="0"/>
          <w:sz w:val="24"/>
          <w:szCs w:val="24"/>
        </w:rPr>
        <w:t xml:space="preserve">.  </w:t>
      </w:r>
    </w:p>
    <w:p w14:paraId="741A11F6" w14:textId="6E3FA8EF" w:rsidR="004C2CA7" w:rsidRPr="004C2CA7" w:rsidRDefault="00F127A2" w:rsidP="00492BEC">
      <w:pPr>
        <w:pStyle w:val="Standard"/>
        <w:spacing w:line="360" w:lineRule="auto"/>
        <w:ind w:firstLine="1418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Conclusos os autos, a juíza de 1° grau proferiu a Sentença</w:t>
      </w:r>
      <w:r w:rsidR="00271501">
        <w:rPr>
          <w:b w:val="0"/>
          <w:sz w:val="24"/>
          <w:szCs w:val="24"/>
        </w:rPr>
        <w:t xml:space="preserve">, ID </w:t>
      </w:r>
      <w:r w:rsidR="00E5302D">
        <w:rPr>
          <w:b w:val="0"/>
          <w:sz w:val="24"/>
          <w:szCs w:val="24"/>
        </w:rPr>
        <w:t>14216452</w:t>
      </w:r>
      <w:r w:rsidR="00271501">
        <w:rPr>
          <w:b w:val="0"/>
          <w:sz w:val="24"/>
          <w:szCs w:val="24"/>
        </w:rPr>
        <w:t xml:space="preserve">, </w:t>
      </w:r>
      <w:r w:rsidR="00FD58BC">
        <w:rPr>
          <w:b w:val="0"/>
          <w:sz w:val="24"/>
          <w:szCs w:val="24"/>
        </w:rPr>
        <w:t xml:space="preserve">julgando </w:t>
      </w:r>
      <w:r w:rsidR="004C2CA7">
        <w:rPr>
          <w:b w:val="0"/>
          <w:sz w:val="24"/>
          <w:szCs w:val="24"/>
        </w:rPr>
        <w:t xml:space="preserve">IMPROCEDENTE </w:t>
      </w:r>
      <w:r w:rsidR="00FD58BC">
        <w:rPr>
          <w:b w:val="0"/>
          <w:sz w:val="24"/>
          <w:szCs w:val="24"/>
        </w:rPr>
        <w:t>o pedido inicial</w:t>
      </w:r>
      <w:r w:rsidR="00492BEC">
        <w:rPr>
          <w:b w:val="0"/>
          <w:sz w:val="24"/>
          <w:szCs w:val="24"/>
        </w:rPr>
        <w:t>.</w:t>
      </w:r>
    </w:p>
    <w:p w14:paraId="70D3FC7B" w14:textId="4CA34146" w:rsidR="001413BE" w:rsidRDefault="00271501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Para tanto, </w:t>
      </w:r>
      <w:r w:rsidR="003107FC">
        <w:rPr>
          <w:b w:val="0"/>
          <w:sz w:val="24"/>
          <w:szCs w:val="24"/>
        </w:rPr>
        <w:t xml:space="preserve">pautou-se </w:t>
      </w:r>
      <w:r w:rsidR="000F52AF">
        <w:rPr>
          <w:b w:val="0"/>
          <w:sz w:val="24"/>
          <w:szCs w:val="24"/>
        </w:rPr>
        <w:t xml:space="preserve">nas </w:t>
      </w:r>
      <w:r w:rsidR="000F52AF" w:rsidRPr="000F52AF">
        <w:rPr>
          <w:b w:val="0"/>
          <w:sz w:val="24"/>
          <w:szCs w:val="24"/>
        </w:rPr>
        <w:t xml:space="preserve">resoluções normativas </w:t>
      </w:r>
      <w:bookmarkStart w:id="2" w:name="_Hlk78367991"/>
      <w:r w:rsidR="000F52AF" w:rsidRPr="000E044C">
        <w:rPr>
          <w:b w:val="0"/>
          <w:sz w:val="24"/>
          <w:szCs w:val="24"/>
        </w:rPr>
        <w:t>nº 3.518/2007 e n° 3.693/2009</w:t>
      </w:r>
      <w:r w:rsidR="000F52AF">
        <w:rPr>
          <w:b w:val="0"/>
          <w:sz w:val="24"/>
          <w:szCs w:val="24"/>
        </w:rPr>
        <w:t xml:space="preserve"> </w:t>
      </w:r>
      <w:r w:rsidR="000F52AF" w:rsidRPr="000F52AF">
        <w:rPr>
          <w:b w:val="0"/>
          <w:sz w:val="24"/>
          <w:szCs w:val="24"/>
        </w:rPr>
        <w:t>do Banco Central do Brasil</w:t>
      </w:r>
      <w:bookmarkEnd w:id="2"/>
      <w:r w:rsidR="000F52AF">
        <w:rPr>
          <w:b w:val="0"/>
          <w:sz w:val="24"/>
          <w:szCs w:val="24"/>
        </w:rPr>
        <w:t xml:space="preserve"> e </w:t>
      </w:r>
      <w:r w:rsidR="00FD58BC">
        <w:rPr>
          <w:b w:val="0"/>
          <w:sz w:val="24"/>
          <w:szCs w:val="24"/>
        </w:rPr>
        <w:t>nos</w:t>
      </w:r>
      <w:r w:rsidR="00FD58BC" w:rsidRPr="00FD58BC">
        <w:rPr>
          <w:b w:val="0"/>
          <w:sz w:val="24"/>
          <w:szCs w:val="24"/>
        </w:rPr>
        <w:t xml:space="preserve"> Recursos Especiais 1.251.331 e 1.255.573</w:t>
      </w:r>
      <w:r w:rsidR="00FD58BC">
        <w:rPr>
          <w:b w:val="0"/>
          <w:sz w:val="24"/>
          <w:szCs w:val="24"/>
        </w:rPr>
        <w:t xml:space="preserve">, </w:t>
      </w:r>
      <w:r w:rsidR="00763665">
        <w:rPr>
          <w:b w:val="0"/>
          <w:sz w:val="24"/>
          <w:szCs w:val="24"/>
        </w:rPr>
        <w:t>além d</w:t>
      </w:r>
      <w:r w:rsidR="00883BCD">
        <w:rPr>
          <w:b w:val="0"/>
          <w:sz w:val="24"/>
          <w:szCs w:val="24"/>
        </w:rPr>
        <w:t>a</w:t>
      </w:r>
      <w:r w:rsidR="00FD58BC">
        <w:rPr>
          <w:b w:val="0"/>
          <w:sz w:val="24"/>
          <w:szCs w:val="24"/>
        </w:rPr>
        <w:t xml:space="preserve"> Súmula 565 do Superior Tribunal de Justiça (STJ)</w:t>
      </w:r>
      <w:r>
        <w:rPr>
          <w:b w:val="0"/>
          <w:sz w:val="24"/>
          <w:szCs w:val="24"/>
        </w:rPr>
        <w:t>.</w:t>
      </w:r>
    </w:p>
    <w:p w14:paraId="70D3FC7C" w14:textId="6F4B1A82" w:rsidR="001413BE" w:rsidRDefault="00271501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FD58B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Excelentíssim</w:t>
      </w:r>
      <w:r w:rsidR="00FD58B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</w:t>
      </w:r>
      <w:r w:rsidR="00FD58BC">
        <w:rPr>
          <w:b w:val="0"/>
          <w:sz w:val="24"/>
          <w:szCs w:val="24"/>
        </w:rPr>
        <w:t>Juíza</w:t>
      </w:r>
      <w:r>
        <w:rPr>
          <w:b w:val="0"/>
          <w:sz w:val="24"/>
          <w:szCs w:val="24"/>
        </w:rPr>
        <w:t xml:space="preserve"> entendeu que</w:t>
      </w:r>
      <w:r w:rsidR="000F52AF">
        <w:rPr>
          <w:b w:val="0"/>
          <w:sz w:val="24"/>
          <w:szCs w:val="24"/>
        </w:rPr>
        <w:t xml:space="preserve"> o Autor </w:t>
      </w:r>
      <w:r w:rsidR="000F52AF" w:rsidRPr="000F52AF">
        <w:rPr>
          <w:b w:val="0"/>
          <w:sz w:val="24"/>
          <w:szCs w:val="24"/>
        </w:rPr>
        <w:t>não trouxe nenhum elemento que conduzisse ao reconhecimento mínimo das alegações</w:t>
      </w:r>
      <w:r w:rsidR="000F52AF">
        <w:rPr>
          <w:b w:val="0"/>
          <w:sz w:val="24"/>
          <w:szCs w:val="24"/>
        </w:rPr>
        <w:t xml:space="preserve">, dado a ausência de </w:t>
      </w:r>
      <w:r w:rsidR="000F52AF" w:rsidRPr="000F52AF">
        <w:rPr>
          <w:b w:val="0"/>
          <w:sz w:val="24"/>
          <w:szCs w:val="24"/>
        </w:rPr>
        <w:t>documento</w:t>
      </w:r>
      <w:r w:rsidR="000F52AF">
        <w:rPr>
          <w:b w:val="0"/>
          <w:sz w:val="24"/>
          <w:szCs w:val="24"/>
        </w:rPr>
        <w:t>s</w:t>
      </w:r>
      <w:r w:rsidR="000F52AF" w:rsidRPr="000F52AF">
        <w:rPr>
          <w:b w:val="0"/>
          <w:sz w:val="24"/>
          <w:szCs w:val="24"/>
        </w:rPr>
        <w:t xml:space="preserve"> </w:t>
      </w:r>
      <w:r w:rsidR="000F52AF" w:rsidRPr="000F52AF">
        <w:rPr>
          <w:b w:val="0"/>
          <w:sz w:val="24"/>
          <w:szCs w:val="24"/>
        </w:rPr>
        <w:lastRenderedPageBreak/>
        <w:t>que indi</w:t>
      </w:r>
      <w:r w:rsidR="006D5F10">
        <w:rPr>
          <w:b w:val="0"/>
          <w:sz w:val="24"/>
          <w:szCs w:val="24"/>
        </w:rPr>
        <w:t>cassem</w:t>
      </w:r>
      <w:r w:rsidR="000F52AF" w:rsidRPr="000F52AF">
        <w:rPr>
          <w:b w:val="0"/>
          <w:sz w:val="24"/>
          <w:szCs w:val="24"/>
        </w:rPr>
        <w:t xml:space="preserve"> a cobrança</w:t>
      </w:r>
      <w:r w:rsidR="000F52AF">
        <w:rPr>
          <w:b w:val="0"/>
          <w:sz w:val="24"/>
          <w:szCs w:val="24"/>
        </w:rPr>
        <w:t xml:space="preserve"> pelas instituições financeiras</w:t>
      </w:r>
      <w:r w:rsidR="000F52AF" w:rsidRPr="000F52AF">
        <w:rPr>
          <w:b w:val="0"/>
          <w:sz w:val="24"/>
          <w:szCs w:val="24"/>
        </w:rPr>
        <w:t xml:space="preserve"> de TAC ou TE</w:t>
      </w:r>
      <w:r w:rsidR="000D6E7E">
        <w:rPr>
          <w:b w:val="0"/>
          <w:sz w:val="24"/>
          <w:szCs w:val="24"/>
        </w:rPr>
        <w:t>C</w:t>
      </w:r>
      <w:r w:rsidR="000F52AF">
        <w:rPr>
          <w:b w:val="0"/>
          <w:sz w:val="24"/>
          <w:szCs w:val="24"/>
        </w:rPr>
        <w:t>,</w:t>
      </w:r>
      <w:r w:rsidR="000F52AF" w:rsidRPr="000F52AF">
        <w:rPr>
          <w:b w:val="0"/>
          <w:sz w:val="24"/>
          <w:szCs w:val="24"/>
        </w:rPr>
        <w:t xml:space="preserve"> a partir de 30 de abril de 2008</w:t>
      </w:r>
      <w:r>
        <w:rPr>
          <w:b w:val="0"/>
          <w:sz w:val="24"/>
          <w:szCs w:val="24"/>
        </w:rPr>
        <w:t>.</w:t>
      </w:r>
    </w:p>
    <w:p w14:paraId="70D3FC7D" w14:textId="77777777" w:rsidR="001413BE" w:rsidRDefault="00271501">
      <w:pPr>
        <w:pStyle w:val="Standard"/>
        <w:spacing w:line="360" w:lineRule="auto"/>
        <w:jc w:val="both"/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Sendo estes os fatos, passa-se, em ato contínuo, ao direito.</w:t>
      </w:r>
    </w:p>
    <w:p w14:paraId="70D3FC7E" w14:textId="77777777" w:rsidR="001413BE" w:rsidRDefault="001413BE">
      <w:pPr>
        <w:pStyle w:val="Standard"/>
        <w:spacing w:line="360" w:lineRule="auto"/>
        <w:jc w:val="both"/>
      </w:pPr>
    </w:p>
    <w:tbl>
      <w:tblPr>
        <w:tblW w:w="8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0"/>
      </w:tblGrid>
      <w:tr w:rsidR="001413BE" w14:paraId="70D3FC80" w14:textId="77777777">
        <w:trPr>
          <w:trHeight w:val="241"/>
        </w:trPr>
        <w:tc>
          <w:tcPr>
            <w:tcW w:w="8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3FC7F" w14:textId="77777777" w:rsidR="001413BE" w:rsidRDefault="00271501">
            <w:pPr>
              <w:pStyle w:val="Cabealho"/>
              <w:widowControl w:val="0"/>
              <w:spacing w:line="360" w:lineRule="auto"/>
              <w:jc w:val="both"/>
            </w:pPr>
            <w:r>
              <w:rPr>
                <w:bCs/>
                <w:sz w:val="24"/>
                <w:szCs w:val="24"/>
              </w:rPr>
              <w:t xml:space="preserve">2 – </w:t>
            </w:r>
            <w:r>
              <w:rPr>
                <w:bCs/>
                <w:color w:val="000000"/>
                <w:sz w:val="24"/>
                <w:szCs w:val="24"/>
              </w:rPr>
              <w:t>DAS RAZÕES PARA A REFORMA DA SENTENÇA</w:t>
            </w:r>
          </w:p>
        </w:tc>
      </w:tr>
    </w:tbl>
    <w:p w14:paraId="70D3FC81" w14:textId="77777777" w:rsidR="001413BE" w:rsidRDefault="001413BE">
      <w:pPr>
        <w:pStyle w:val="Textbody"/>
        <w:spacing w:after="0" w:line="360" w:lineRule="auto"/>
        <w:jc w:val="both"/>
        <w:rPr>
          <w:sz w:val="24"/>
          <w:szCs w:val="24"/>
        </w:rPr>
      </w:pPr>
    </w:p>
    <w:p w14:paraId="70D3FC82" w14:textId="5C6FCC5A" w:rsidR="001413BE" w:rsidRDefault="00271501">
      <w:pPr>
        <w:pStyle w:val="Standard"/>
        <w:spacing w:line="360" w:lineRule="auto"/>
        <w:jc w:val="both"/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D3552A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</w:t>
      </w:r>
      <w:r w:rsidR="004D72E7">
        <w:rPr>
          <w:b w:val="0"/>
          <w:sz w:val="24"/>
          <w:szCs w:val="24"/>
        </w:rPr>
        <w:t>juíza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iCs/>
          <w:sz w:val="24"/>
          <w:szCs w:val="24"/>
        </w:rPr>
        <w:t>a quo</w:t>
      </w:r>
      <w:r>
        <w:rPr>
          <w:b w:val="0"/>
          <w:sz w:val="24"/>
          <w:szCs w:val="24"/>
        </w:rPr>
        <w:t xml:space="preserve">, </w:t>
      </w:r>
      <w:proofErr w:type="spellStart"/>
      <w:r>
        <w:rPr>
          <w:rStyle w:val="nfase"/>
          <w:b w:val="0"/>
          <w:sz w:val="24"/>
          <w:szCs w:val="24"/>
        </w:rPr>
        <w:t>concessa</w:t>
      </w:r>
      <w:proofErr w:type="spellEnd"/>
      <w:r>
        <w:rPr>
          <w:rStyle w:val="nfase"/>
          <w:b w:val="0"/>
          <w:sz w:val="24"/>
          <w:szCs w:val="24"/>
        </w:rPr>
        <w:t xml:space="preserve"> </w:t>
      </w:r>
      <w:proofErr w:type="spellStart"/>
      <w:r>
        <w:rPr>
          <w:rStyle w:val="nfase"/>
          <w:b w:val="0"/>
          <w:sz w:val="24"/>
          <w:szCs w:val="24"/>
        </w:rPr>
        <w:t>venia</w:t>
      </w:r>
      <w:proofErr w:type="spellEnd"/>
      <w:r>
        <w:rPr>
          <w:b w:val="0"/>
          <w:sz w:val="24"/>
          <w:szCs w:val="24"/>
        </w:rPr>
        <w:t xml:space="preserve">, navegando em nítido </w:t>
      </w:r>
      <w:proofErr w:type="spellStart"/>
      <w:r>
        <w:rPr>
          <w:rStyle w:val="nfase"/>
          <w:b w:val="0"/>
          <w:sz w:val="24"/>
          <w:szCs w:val="24"/>
        </w:rPr>
        <w:t>error</w:t>
      </w:r>
      <w:proofErr w:type="spellEnd"/>
      <w:r>
        <w:rPr>
          <w:rStyle w:val="nfase"/>
          <w:b w:val="0"/>
          <w:sz w:val="24"/>
          <w:szCs w:val="24"/>
        </w:rPr>
        <w:t xml:space="preserve"> in </w:t>
      </w:r>
      <w:proofErr w:type="spellStart"/>
      <w:r>
        <w:rPr>
          <w:rStyle w:val="nfase"/>
          <w:b w:val="0"/>
          <w:sz w:val="24"/>
          <w:szCs w:val="24"/>
        </w:rPr>
        <w:t>judicando</w:t>
      </w:r>
      <w:proofErr w:type="spellEnd"/>
      <w:r>
        <w:rPr>
          <w:b w:val="0"/>
          <w:sz w:val="24"/>
          <w:szCs w:val="24"/>
        </w:rPr>
        <w:t xml:space="preserve">, julgou improcedente os pedidos formulados pelo recorrente, razão pela qual deve ser modificada </w:t>
      </w:r>
      <w:r>
        <w:rPr>
          <w:b w:val="0"/>
          <w:i/>
          <w:sz w:val="24"/>
          <w:szCs w:val="24"/>
        </w:rPr>
        <w:t xml:space="preserve">in </w:t>
      </w:r>
      <w:proofErr w:type="spellStart"/>
      <w:r>
        <w:rPr>
          <w:b w:val="0"/>
          <w:i/>
          <w:sz w:val="24"/>
          <w:szCs w:val="24"/>
        </w:rPr>
        <w:t>totum</w:t>
      </w:r>
      <w:proofErr w:type="spellEnd"/>
      <w:r>
        <w:rPr>
          <w:b w:val="0"/>
          <w:sz w:val="24"/>
          <w:szCs w:val="24"/>
        </w:rPr>
        <w:t>, conforme se demonstrará adiante.</w:t>
      </w:r>
    </w:p>
    <w:p w14:paraId="70D3FC8D" w14:textId="0BE884CF" w:rsidR="000F52AF" w:rsidRDefault="00271501" w:rsidP="00784B7B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 w:val="0"/>
          <w:sz w:val="24"/>
          <w:szCs w:val="24"/>
        </w:rPr>
        <w:t xml:space="preserve">Em Sentença, </w:t>
      </w:r>
      <w:r w:rsidR="00AE75F3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Nobre Julgador</w:t>
      </w:r>
      <w:r w:rsidR="00CD1CDD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fundamentou</w:t>
      </w:r>
      <w:r w:rsidR="001028D5">
        <w:rPr>
          <w:b w:val="0"/>
          <w:sz w:val="24"/>
          <w:szCs w:val="24"/>
        </w:rPr>
        <w:t xml:space="preserve"> majoritariamente</w:t>
      </w:r>
      <w:r>
        <w:rPr>
          <w:b w:val="0"/>
          <w:sz w:val="24"/>
          <w:szCs w:val="24"/>
        </w:rPr>
        <w:t xml:space="preserve"> a sua Decisão na </w:t>
      </w:r>
      <w:r w:rsidR="00784B7B">
        <w:rPr>
          <w:b w:val="0"/>
          <w:sz w:val="24"/>
          <w:szCs w:val="24"/>
        </w:rPr>
        <w:t xml:space="preserve">ausência de provas do descumprimento das Resoluções </w:t>
      </w:r>
      <w:r w:rsidR="00784B7B" w:rsidRPr="00784B7B">
        <w:rPr>
          <w:b w:val="0"/>
          <w:sz w:val="24"/>
          <w:szCs w:val="24"/>
        </w:rPr>
        <w:t xml:space="preserve">nº 3.518/2007 e n° 3.693/2009 do </w:t>
      </w:r>
      <w:r w:rsidR="00253067">
        <w:rPr>
          <w:b w:val="0"/>
          <w:sz w:val="24"/>
          <w:szCs w:val="24"/>
        </w:rPr>
        <w:t>Conselho Monetário Nacional</w:t>
      </w:r>
      <w:r w:rsidR="000F289C">
        <w:rPr>
          <w:b w:val="0"/>
          <w:sz w:val="24"/>
          <w:szCs w:val="24"/>
        </w:rPr>
        <w:t xml:space="preserve"> </w:t>
      </w:r>
      <w:r w:rsidR="00D17B66">
        <w:rPr>
          <w:b w:val="0"/>
          <w:sz w:val="24"/>
          <w:szCs w:val="24"/>
        </w:rPr>
        <w:t xml:space="preserve">(CMN) por </w:t>
      </w:r>
      <w:r w:rsidR="00784B7B">
        <w:rPr>
          <w:b w:val="0"/>
          <w:sz w:val="24"/>
          <w:szCs w:val="24"/>
        </w:rPr>
        <w:t>parte das instituições financeiras que figuram o polo passivo</w:t>
      </w:r>
      <w:r w:rsidR="00F40879">
        <w:rPr>
          <w:b w:val="0"/>
          <w:sz w:val="24"/>
          <w:szCs w:val="24"/>
        </w:rPr>
        <w:t>, veja-se:</w:t>
      </w:r>
    </w:p>
    <w:p w14:paraId="3CB32A41" w14:textId="5936803E" w:rsidR="009D082F" w:rsidRPr="00F824A0" w:rsidRDefault="009D082F" w:rsidP="00784B7B">
      <w:pPr>
        <w:pStyle w:val="Standard"/>
        <w:spacing w:line="360" w:lineRule="auto"/>
        <w:jc w:val="both"/>
        <w:rPr>
          <w:b w:val="0"/>
        </w:rPr>
      </w:pPr>
    </w:p>
    <w:p w14:paraId="1AE2B2C0" w14:textId="5B49BA67" w:rsidR="00227059" w:rsidRPr="00F824A0" w:rsidRDefault="00227059" w:rsidP="00227059">
      <w:pPr>
        <w:pStyle w:val="Standard"/>
        <w:spacing w:line="360" w:lineRule="auto"/>
        <w:ind w:left="2268"/>
        <w:jc w:val="both"/>
        <w:rPr>
          <w:b w:val="0"/>
        </w:rPr>
      </w:pPr>
      <w:r w:rsidRPr="00F824A0">
        <w:rPr>
          <w:b w:val="0"/>
        </w:rPr>
        <w:t>DO MÉRITO</w:t>
      </w:r>
    </w:p>
    <w:p w14:paraId="5BFA49E5" w14:textId="77777777" w:rsidR="00F824A0" w:rsidRDefault="00F824A0" w:rsidP="00F824A0">
      <w:pPr>
        <w:pStyle w:val="Standard"/>
        <w:spacing w:line="360" w:lineRule="auto"/>
        <w:ind w:left="2268"/>
        <w:jc w:val="both"/>
        <w:rPr>
          <w:b w:val="0"/>
        </w:rPr>
      </w:pPr>
      <w:r w:rsidRPr="00F824A0">
        <w:rPr>
          <w:b w:val="0"/>
        </w:rPr>
        <w:t>[...]</w:t>
      </w:r>
    </w:p>
    <w:p w14:paraId="310B49FF" w14:textId="2BF1C0F7" w:rsidR="000071BE" w:rsidRPr="00335129" w:rsidRDefault="00F824A0" w:rsidP="003F6372">
      <w:pPr>
        <w:pStyle w:val="Standard"/>
        <w:spacing w:line="240" w:lineRule="auto"/>
        <w:ind w:left="2268"/>
        <w:jc w:val="both"/>
        <w:rPr>
          <w:b w:val="0"/>
        </w:rPr>
      </w:pPr>
      <w:r>
        <w:rPr>
          <w:b w:val="0"/>
        </w:rPr>
        <w:tab/>
      </w:r>
      <w:r w:rsidR="000071BE" w:rsidRPr="00335129">
        <w:rPr>
          <w:b w:val="0"/>
        </w:rPr>
        <w:t xml:space="preserve">Compulsando os autos, especialmente a inicial, </w:t>
      </w:r>
      <w:r w:rsidR="000071BE" w:rsidRPr="003F6372">
        <w:rPr>
          <w:bCs/>
        </w:rPr>
        <w:t>não vislumbro nenhuma prova do descumprimento das resoluções do BACEN, por parte das instituições bancárias</w:t>
      </w:r>
      <w:r w:rsidR="000071BE" w:rsidRPr="00335129">
        <w:rPr>
          <w:b w:val="0"/>
        </w:rPr>
        <w:t xml:space="preserve">. Assento que embora o parquet apresente reclamações formuladas por consumidores, </w:t>
      </w:r>
      <w:r w:rsidR="000071BE" w:rsidRPr="006C0055">
        <w:rPr>
          <w:bCs/>
        </w:rPr>
        <w:t>não vislumbro na espécie nenhum documento que indique a cobrança de TAC ou TEC a partir de 30 de abril de 2008</w:t>
      </w:r>
      <w:r w:rsidR="000071BE" w:rsidRPr="00335129">
        <w:rPr>
          <w:b w:val="0"/>
        </w:rPr>
        <w:t>.</w:t>
      </w:r>
    </w:p>
    <w:p w14:paraId="440B1C56" w14:textId="58F082E1" w:rsidR="000071BE" w:rsidRPr="00335129" w:rsidRDefault="000071BE" w:rsidP="003F6372">
      <w:pPr>
        <w:pStyle w:val="Standard"/>
        <w:spacing w:line="240" w:lineRule="auto"/>
        <w:ind w:left="2268"/>
        <w:jc w:val="both"/>
        <w:rPr>
          <w:b w:val="0"/>
        </w:rPr>
      </w:pPr>
      <w:r w:rsidRPr="00335129">
        <w:rPr>
          <w:b w:val="0"/>
        </w:rPr>
        <w:t xml:space="preserve">            Em que pese a possibilidade de inversão do ônus da prova, concluo que </w:t>
      </w:r>
      <w:r w:rsidRPr="006C0055">
        <w:rPr>
          <w:bCs/>
        </w:rPr>
        <w:t>a parte autora não trouxe nenhum elemento que conduzisse ao reconhecimento mínimo das alegações</w:t>
      </w:r>
      <w:r w:rsidRPr="00335129">
        <w:rPr>
          <w:b w:val="0"/>
        </w:rPr>
        <w:t>, na medida em que sequer fora juntado boleto ou contrato com as cobranças.</w:t>
      </w:r>
    </w:p>
    <w:p w14:paraId="5EA17569" w14:textId="75A9E532" w:rsidR="000071BE" w:rsidRDefault="000071BE" w:rsidP="003F6372">
      <w:pPr>
        <w:pStyle w:val="Standard"/>
        <w:spacing w:line="240" w:lineRule="auto"/>
        <w:ind w:left="2268"/>
        <w:jc w:val="both"/>
        <w:rPr>
          <w:b w:val="0"/>
        </w:rPr>
      </w:pPr>
      <w:r w:rsidRPr="00335129">
        <w:rPr>
          <w:b w:val="0"/>
        </w:rPr>
        <w:t xml:space="preserve">            Assim, partindo das resoluções normativas do Banco Central do Brasil, assim como do</w:t>
      </w:r>
      <w:r w:rsidR="00335129" w:rsidRPr="00335129">
        <w:rPr>
          <w:b w:val="0"/>
        </w:rPr>
        <w:t xml:space="preserve"> </w:t>
      </w:r>
      <w:r w:rsidRPr="00335129">
        <w:rPr>
          <w:b w:val="0"/>
        </w:rPr>
        <w:t xml:space="preserve">entendimento do Superior Tribunal de Justiça, bem como diante da </w:t>
      </w:r>
      <w:r w:rsidRPr="000F6C5E">
        <w:rPr>
          <w:bCs/>
        </w:rPr>
        <w:t>ausência de comprovação de</w:t>
      </w:r>
      <w:r w:rsidR="00335129" w:rsidRPr="000F6C5E">
        <w:rPr>
          <w:bCs/>
        </w:rPr>
        <w:t xml:space="preserve"> </w:t>
      </w:r>
      <w:r w:rsidRPr="000F6C5E">
        <w:rPr>
          <w:bCs/>
        </w:rPr>
        <w:t>descumprimento dos normativos amplamente evidenciados</w:t>
      </w:r>
      <w:r w:rsidRPr="00335129">
        <w:rPr>
          <w:b w:val="0"/>
        </w:rPr>
        <w:t>, entendo pela improcedência dos pedidos.</w:t>
      </w:r>
      <w:r w:rsidR="000F6C5E">
        <w:rPr>
          <w:b w:val="0"/>
        </w:rPr>
        <w:t xml:space="preserve"> (</w:t>
      </w:r>
      <w:r w:rsidR="00995D05">
        <w:rPr>
          <w:b w:val="0"/>
        </w:rPr>
        <w:t>grifos inseridos</w:t>
      </w:r>
      <w:r w:rsidR="000F6C5E">
        <w:rPr>
          <w:b w:val="0"/>
        </w:rPr>
        <w:t>)</w:t>
      </w:r>
    </w:p>
    <w:p w14:paraId="6B447EF9" w14:textId="77777777" w:rsidR="009D082F" w:rsidRPr="00335129" w:rsidRDefault="009D082F" w:rsidP="00335129">
      <w:pPr>
        <w:pStyle w:val="Standard"/>
        <w:spacing w:line="360" w:lineRule="auto"/>
        <w:ind w:left="2268"/>
        <w:jc w:val="both"/>
        <w:rPr>
          <w:b w:val="0"/>
        </w:rPr>
      </w:pPr>
    </w:p>
    <w:p w14:paraId="24CFFA3D" w14:textId="23F67580" w:rsidR="0012547C" w:rsidRDefault="000F6C5E" w:rsidP="002D0620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Ocorre, </w:t>
      </w:r>
      <w:r w:rsidR="00844EE4">
        <w:rPr>
          <w:b w:val="0"/>
          <w:sz w:val="24"/>
          <w:szCs w:val="24"/>
        </w:rPr>
        <w:t xml:space="preserve">Ínclitos Desembargadores, </w:t>
      </w:r>
      <w:r w:rsidR="00D7319A">
        <w:rPr>
          <w:b w:val="0"/>
          <w:sz w:val="24"/>
          <w:szCs w:val="24"/>
        </w:rPr>
        <w:t xml:space="preserve">que </w:t>
      </w:r>
      <w:r w:rsidR="00245B49" w:rsidRPr="00F1247D">
        <w:rPr>
          <w:b w:val="0"/>
          <w:sz w:val="24"/>
          <w:szCs w:val="24"/>
          <w:u w:val="single"/>
        </w:rPr>
        <w:t xml:space="preserve">não </w:t>
      </w:r>
      <w:r w:rsidR="003A0CE7" w:rsidRPr="00F1247D">
        <w:rPr>
          <w:b w:val="0"/>
          <w:sz w:val="24"/>
          <w:szCs w:val="24"/>
          <w:u w:val="single"/>
        </w:rPr>
        <w:t>se faz necessário</w:t>
      </w:r>
      <w:r w:rsidR="0091647A" w:rsidRPr="00F1247D">
        <w:rPr>
          <w:b w:val="0"/>
          <w:sz w:val="24"/>
          <w:szCs w:val="24"/>
          <w:u w:val="single"/>
        </w:rPr>
        <w:t xml:space="preserve"> a juntada de documentos </w:t>
      </w:r>
      <w:r w:rsidR="008B793A" w:rsidRPr="00F1247D">
        <w:rPr>
          <w:b w:val="0"/>
          <w:sz w:val="24"/>
          <w:szCs w:val="24"/>
          <w:u w:val="single"/>
        </w:rPr>
        <w:t>que demo</w:t>
      </w:r>
      <w:r w:rsidR="003A0CE7" w:rsidRPr="00F1247D">
        <w:rPr>
          <w:b w:val="0"/>
          <w:sz w:val="24"/>
          <w:szCs w:val="24"/>
          <w:u w:val="single"/>
        </w:rPr>
        <w:t>nstr</w:t>
      </w:r>
      <w:r w:rsidR="00DB0900">
        <w:rPr>
          <w:b w:val="0"/>
          <w:sz w:val="24"/>
          <w:szCs w:val="24"/>
          <w:u w:val="single"/>
        </w:rPr>
        <w:t>e</w:t>
      </w:r>
      <w:r w:rsidR="0055675D" w:rsidRPr="00F1247D">
        <w:rPr>
          <w:b w:val="0"/>
          <w:sz w:val="24"/>
          <w:szCs w:val="24"/>
          <w:u w:val="single"/>
        </w:rPr>
        <w:t>m</w:t>
      </w:r>
      <w:r w:rsidR="003A0CE7" w:rsidRPr="00F1247D">
        <w:rPr>
          <w:b w:val="0"/>
          <w:sz w:val="24"/>
          <w:szCs w:val="24"/>
          <w:u w:val="single"/>
        </w:rPr>
        <w:t xml:space="preserve"> </w:t>
      </w:r>
      <w:r w:rsidR="00C6445D" w:rsidRPr="00F1247D">
        <w:rPr>
          <w:b w:val="0"/>
          <w:sz w:val="24"/>
          <w:szCs w:val="24"/>
          <w:u w:val="single"/>
        </w:rPr>
        <w:t>a cobrança das referidas taxas</w:t>
      </w:r>
      <w:r w:rsidR="002943AB">
        <w:rPr>
          <w:b w:val="0"/>
          <w:sz w:val="24"/>
          <w:szCs w:val="24"/>
        </w:rPr>
        <w:t>,</w:t>
      </w:r>
      <w:r w:rsidR="00C6445D">
        <w:rPr>
          <w:b w:val="0"/>
          <w:sz w:val="24"/>
          <w:szCs w:val="24"/>
        </w:rPr>
        <w:t xml:space="preserve"> </w:t>
      </w:r>
      <w:r w:rsidR="004304C2">
        <w:rPr>
          <w:b w:val="0"/>
          <w:sz w:val="24"/>
          <w:szCs w:val="24"/>
        </w:rPr>
        <w:t>re</w:t>
      </w:r>
      <w:r w:rsidR="00D46054">
        <w:rPr>
          <w:b w:val="0"/>
          <w:sz w:val="24"/>
          <w:szCs w:val="24"/>
        </w:rPr>
        <w:t xml:space="preserve">conhecidamente indevidas </w:t>
      </w:r>
      <w:r w:rsidR="009A4A92">
        <w:rPr>
          <w:b w:val="0"/>
          <w:sz w:val="24"/>
          <w:szCs w:val="24"/>
        </w:rPr>
        <w:t xml:space="preserve">pelas </w:t>
      </w:r>
      <w:r w:rsidR="003A54F4">
        <w:rPr>
          <w:b w:val="0"/>
          <w:sz w:val="24"/>
          <w:szCs w:val="24"/>
        </w:rPr>
        <w:t xml:space="preserve">Resoluções do CMN e pelo </w:t>
      </w:r>
      <w:r w:rsidR="00A641EF">
        <w:rPr>
          <w:b w:val="0"/>
          <w:sz w:val="24"/>
          <w:szCs w:val="24"/>
        </w:rPr>
        <w:t>STJ</w:t>
      </w:r>
      <w:r w:rsidR="002943AB">
        <w:rPr>
          <w:b w:val="0"/>
          <w:sz w:val="24"/>
          <w:szCs w:val="24"/>
        </w:rPr>
        <w:t>,</w:t>
      </w:r>
      <w:r w:rsidR="004E0A23">
        <w:rPr>
          <w:b w:val="0"/>
          <w:sz w:val="24"/>
          <w:szCs w:val="24"/>
        </w:rPr>
        <w:t xml:space="preserve"> </w:t>
      </w:r>
      <w:r w:rsidR="004E0A23" w:rsidRPr="00F1247D">
        <w:rPr>
          <w:b w:val="0"/>
          <w:sz w:val="24"/>
          <w:szCs w:val="24"/>
          <w:u w:val="single"/>
        </w:rPr>
        <w:t>para que se comprove a</w:t>
      </w:r>
      <w:r w:rsidR="00B56A1D" w:rsidRPr="00F1247D">
        <w:rPr>
          <w:b w:val="0"/>
          <w:sz w:val="24"/>
          <w:szCs w:val="24"/>
          <w:u w:val="single"/>
        </w:rPr>
        <w:t xml:space="preserve"> </w:t>
      </w:r>
      <w:r w:rsidR="00235D95">
        <w:rPr>
          <w:b w:val="0"/>
          <w:sz w:val="24"/>
          <w:szCs w:val="24"/>
          <w:u w:val="single"/>
        </w:rPr>
        <w:t>continuidade d</w:t>
      </w:r>
      <w:r w:rsidR="000424F0">
        <w:rPr>
          <w:b w:val="0"/>
          <w:sz w:val="24"/>
          <w:szCs w:val="24"/>
          <w:u w:val="single"/>
        </w:rPr>
        <w:t>esta</w:t>
      </w:r>
      <w:r w:rsidR="00235D95">
        <w:rPr>
          <w:b w:val="0"/>
          <w:sz w:val="24"/>
          <w:szCs w:val="24"/>
          <w:u w:val="single"/>
        </w:rPr>
        <w:t xml:space="preserve"> </w:t>
      </w:r>
      <w:r w:rsidR="00B56A1D" w:rsidRPr="00F1247D">
        <w:rPr>
          <w:b w:val="0"/>
          <w:sz w:val="24"/>
          <w:szCs w:val="24"/>
          <w:u w:val="single"/>
        </w:rPr>
        <w:t xml:space="preserve">cobrança </w:t>
      </w:r>
      <w:r w:rsidR="000416AC" w:rsidRPr="00F1247D">
        <w:rPr>
          <w:b w:val="0"/>
          <w:sz w:val="24"/>
          <w:szCs w:val="24"/>
          <w:u w:val="single"/>
        </w:rPr>
        <w:lastRenderedPageBreak/>
        <w:t>abusiva pel</w:t>
      </w:r>
      <w:r w:rsidR="002E1EFE">
        <w:rPr>
          <w:b w:val="0"/>
          <w:sz w:val="24"/>
          <w:szCs w:val="24"/>
          <w:u w:val="single"/>
        </w:rPr>
        <w:t>as instituições:</w:t>
      </w:r>
      <w:r w:rsidR="005B0575" w:rsidRPr="00F1247D">
        <w:rPr>
          <w:b w:val="0"/>
          <w:sz w:val="24"/>
          <w:szCs w:val="24"/>
          <w:u w:val="single"/>
        </w:rPr>
        <w:t xml:space="preserve"> Banco </w:t>
      </w:r>
      <w:r w:rsidR="0043076D" w:rsidRPr="00F1247D">
        <w:rPr>
          <w:b w:val="0"/>
          <w:sz w:val="24"/>
          <w:szCs w:val="24"/>
          <w:u w:val="single"/>
        </w:rPr>
        <w:t>Bradesco S.A. (Sucessor do HSBC Brasil S.A.)</w:t>
      </w:r>
      <w:r w:rsidR="007D463C" w:rsidRPr="00F1247D">
        <w:rPr>
          <w:b w:val="0"/>
          <w:sz w:val="24"/>
          <w:szCs w:val="24"/>
          <w:u w:val="single"/>
        </w:rPr>
        <w:t xml:space="preserve">; </w:t>
      </w:r>
      <w:r w:rsidR="005B0575" w:rsidRPr="00F1247D">
        <w:rPr>
          <w:b w:val="0"/>
          <w:sz w:val="24"/>
          <w:szCs w:val="24"/>
          <w:u w:val="single"/>
        </w:rPr>
        <w:t xml:space="preserve">Banco </w:t>
      </w:r>
      <w:proofErr w:type="spellStart"/>
      <w:r w:rsidR="007D463C" w:rsidRPr="00F1247D">
        <w:rPr>
          <w:b w:val="0"/>
          <w:sz w:val="24"/>
          <w:szCs w:val="24"/>
          <w:u w:val="single"/>
        </w:rPr>
        <w:t>Bradescard</w:t>
      </w:r>
      <w:proofErr w:type="spellEnd"/>
      <w:r w:rsidR="003C61F7" w:rsidRPr="00F1247D">
        <w:rPr>
          <w:b w:val="0"/>
          <w:sz w:val="24"/>
          <w:szCs w:val="24"/>
          <w:u w:val="single"/>
        </w:rPr>
        <w:t xml:space="preserve"> e </w:t>
      </w:r>
      <w:r w:rsidR="005B0575" w:rsidRPr="00F1247D">
        <w:rPr>
          <w:b w:val="0"/>
          <w:sz w:val="24"/>
          <w:szCs w:val="24"/>
          <w:u w:val="single"/>
        </w:rPr>
        <w:t>Banco Losango S.A - Banco Múltiplo</w:t>
      </w:r>
      <w:r w:rsidR="005B0575">
        <w:rPr>
          <w:b w:val="0"/>
          <w:sz w:val="24"/>
          <w:szCs w:val="24"/>
        </w:rPr>
        <w:t>.</w:t>
      </w:r>
    </w:p>
    <w:p w14:paraId="67255787" w14:textId="04AE014F" w:rsidR="009D61D9" w:rsidRDefault="009D61D9" w:rsidP="002D0620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B1101A">
        <w:rPr>
          <w:b w:val="0"/>
          <w:sz w:val="24"/>
          <w:szCs w:val="24"/>
        </w:rPr>
        <w:t>Afi</w:t>
      </w:r>
      <w:r w:rsidR="00656D8E">
        <w:rPr>
          <w:b w:val="0"/>
          <w:sz w:val="24"/>
          <w:szCs w:val="24"/>
        </w:rPr>
        <w:t>nal, o</w:t>
      </w:r>
      <w:r w:rsidR="007C7CFD">
        <w:rPr>
          <w:b w:val="0"/>
          <w:sz w:val="24"/>
          <w:szCs w:val="24"/>
        </w:rPr>
        <w:t xml:space="preserve"> objeto </w:t>
      </w:r>
      <w:r w:rsidR="005F1FF8">
        <w:rPr>
          <w:b w:val="0"/>
          <w:sz w:val="24"/>
          <w:szCs w:val="24"/>
        </w:rPr>
        <w:t xml:space="preserve">da ação é o cumprimento das Resoluções </w:t>
      </w:r>
      <w:r w:rsidR="005F1FF8" w:rsidRPr="00784B7B">
        <w:rPr>
          <w:b w:val="0"/>
          <w:sz w:val="24"/>
          <w:szCs w:val="24"/>
        </w:rPr>
        <w:t>nº 3.518/2007 e n° 3.693/2009</w:t>
      </w:r>
      <w:r w:rsidR="008319B5">
        <w:rPr>
          <w:b w:val="0"/>
          <w:sz w:val="24"/>
          <w:szCs w:val="24"/>
        </w:rPr>
        <w:t xml:space="preserve"> que defini</w:t>
      </w:r>
      <w:r w:rsidR="009A19DB">
        <w:rPr>
          <w:b w:val="0"/>
          <w:sz w:val="24"/>
          <w:szCs w:val="24"/>
        </w:rPr>
        <w:t xml:space="preserve">ram a ilegalidade da cobrança da </w:t>
      </w:r>
      <w:r w:rsidR="009A19DB" w:rsidRPr="00567918">
        <w:rPr>
          <w:b w:val="0"/>
          <w:sz w:val="24"/>
          <w:szCs w:val="24"/>
        </w:rPr>
        <w:t>Tarifa de Abertura de Crédito</w:t>
      </w:r>
      <w:r w:rsidR="009A19DB">
        <w:rPr>
          <w:b w:val="0"/>
          <w:sz w:val="24"/>
          <w:szCs w:val="24"/>
        </w:rPr>
        <w:t xml:space="preserve"> </w:t>
      </w:r>
      <w:r w:rsidR="009A19DB" w:rsidRPr="00567918">
        <w:rPr>
          <w:b w:val="0"/>
          <w:sz w:val="24"/>
          <w:szCs w:val="24"/>
        </w:rPr>
        <w:t xml:space="preserve">e </w:t>
      </w:r>
      <w:r w:rsidR="009A19DB">
        <w:rPr>
          <w:b w:val="0"/>
          <w:sz w:val="24"/>
          <w:szCs w:val="24"/>
        </w:rPr>
        <w:t xml:space="preserve">da </w:t>
      </w:r>
      <w:r w:rsidR="009A19DB" w:rsidRPr="00567918">
        <w:rPr>
          <w:b w:val="0"/>
          <w:sz w:val="24"/>
          <w:szCs w:val="24"/>
        </w:rPr>
        <w:t>Tarifa de Emissão de Boleto</w:t>
      </w:r>
      <w:r w:rsidR="00E2465E">
        <w:rPr>
          <w:b w:val="0"/>
          <w:sz w:val="24"/>
          <w:szCs w:val="24"/>
        </w:rPr>
        <w:t>. N</w:t>
      </w:r>
      <w:r w:rsidR="00537604">
        <w:rPr>
          <w:b w:val="0"/>
          <w:sz w:val="24"/>
          <w:szCs w:val="24"/>
        </w:rPr>
        <w:t>o</w:t>
      </w:r>
      <w:r w:rsidR="00355D92">
        <w:rPr>
          <w:b w:val="0"/>
          <w:sz w:val="24"/>
          <w:szCs w:val="24"/>
        </w:rPr>
        <w:t>s autos</w:t>
      </w:r>
      <w:r w:rsidR="00E2465E">
        <w:rPr>
          <w:b w:val="0"/>
          <w:sz w:val="24"/>
          <w:szCs w:val="24"/>
        </w:rPr>
        <w:t xml:space="preserve">, </w:t>
      </w:r>
      <w:r w:rsidR="00CD5937">
        <w:rPr>
          <w:b w:val="0"/>
          <w:sz w:val="24"/>
          <w:szCs w:val="24"/>
        </w:rPr>
        <w:t>foi proposto</w:t>
      </w:r>
      <w:r w:rsidR="00BF6A5F">
        <w:rPr>
          <w:b w:val="0"/>
          <w:sz w:val="24"/>
          <w:szCs w:val="24"/>
        </w:rPr>
        <w:t xml:space="preserve"> </w:t>
      </w:r>
      <w:r w:rsidR="00CA2DE0" w:rsidRPr="00CA2DE0">
        <w:rPr>
          <w:b w:val="0"/>
          <w:sz w:val="24"/>
          <w:szCs w:val="24"/>
        </w:rPr>
        <w:t>pelo PROCO</w:t>
      </w:r>
      <w:r w:rsidR="001A2156">
        <w:rPr>
          <w:b w:val="0"/>
          <w:sz w:val="24"/>
          <w:szCs w:val="24"/>
        </w:rPr>
        <w:t xml:space="preserve">N/MPPI às instituições </w:t>
      </w:r>
      <w:r w:rsidR="00C97EE8">
        <w:rPr>
          <w:b w:val="0"/>
          <w:sz w:val="24"/>
          <w:szCs w:val="24"/>
        </w:rPr>
        <w:t xml:space="preserve">financeiras </w:t>
      </w:r>
      <w:r w:rsidR="002B53A3">
        <w:rPr>
          <w:b w:val="0"/>
          <w:sz w:val="24"/>
          <w:szCs w:val="24"/>
        </w:rPr>
        <w:t>a adesão</w:t>
      </w:r>
      <w:r w:rsidR="007947F9">
        <w:rPr>
          <w:b w:val="0"/>
          <w:sz w:val="24"/>
          <w:szCs w:val="24"/>
        </w:rPr>
        <w:t xml:space="preserve"> </w:t>
      </w:r>
      <w:r w:rsidR="00AE61D4">
        <w:rPr>
          <w:b w:val="0"/>
          <w:sz w:val="24"/>
          <w:szCs w:val="24"/>
        </w:rPr>
        <w:t xml:space="preserve">a </w:t>
      </w:r>
      <w:r w:rsidR="00055951">
        <w:rPr>
          <w:b w:val="0"/>
          <w:sz w:val="24"/>
          <w:szCs w:val="24"/>
        </w:rPr>
        <w:t>Termo de Ajustamento de Conduta</w:t>
      </w:r>
      <w:r w:rsidR="007C6352">
        <w:rPr>
          <w:b w:val="0"/>
          <w:sz w:val="24"/>
          <w:szCs w:val="24"/>
        </w:rPr>
        <w:t xml:space="preserve"> </w:t>
      </w:r>
      <w:r w:rsidR="00041759">
        <w:rPr>
          <w:b w:val="0"/>
          <w:sz w:val="24"/>
          <w:szCs w:val="24"/>
        </w:rPr>
        <w:t xml:space="preserve">justamente para que </w:t>
      </w:r>
      <w:r w:rsidR="009156FA">
        <w:rPr>
          <w:b w:val="0"/>
          <w:sz w:val="24"/>
          <w:szCs w:val="24"/>
        </w:rPr>
        <w:t>as citadas</w:t>
      </w:r>
      <w:r w:rsidR="00CA2DE0">
        <w:rPr>
          <w:b w:val="0"/>
          <w:sz w:val="24"/>
          <w:szCs w:val="24"/>
        </w:rPr>
        <w:t xml:space="preserve"> </w:t>
      </w:r>
      <w:r w:rsidR="00152BC3">
        <w:rPr>
          <w:b w:val="0"/>
          <w:sz w:val="24"/>
          <w:szCs w:val="24"/>
        </w:rPr>
        <w:t>tarifas deix</w:t>
      </w:r>
      <w:r w:rsidR="00CA2DE0">
        <w:rPr>
          <w:b w:val="0"/>
          <w:sz w:val="24"/>
          <w:szCs w:val="24"/>
        </w:rPr>
        <w:t xml:space="preserve">assem </w:t>
      </w:r>
      <w:r w:rsidR="00152BC3">
        <w:rPr>
          <w:b w:val="0"/>
          <w:sz w:val="24"/>
          <w:szCs w:val="24"/>
        </w:rPr>
        <w:t xml:space="preserve">de </w:t>
      </w:r>
      <w:r w:rsidR="00986870">
        <w:rPr>
          <w:b w:val="0"/>
          <w:sz w:val="24"/>
          <w:szCs w:val="24"/>
        </w:rPr>
        <w:t>ser cobradas</w:t>
      </w:r>
      <w:r w:rsidR="00340B34">
        <w:rPr>
          <w:b w:val="0"/>
          <w:sz w:val="24"/>
          <w:szCs w:val="24"/>
        </w:rPr>
        <w:t>.</w:t>
      </w:r>
    </w:p>
    <w:p w14:paraId="2E8462B5" w14:textId="7EBFCDEE" w:rsidR="0012547C" w:rsidRDefault="00BE044D" w:rsidP="002D0620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E6346">
        <w:rPr>
          <w:b w:val="0"/>
          <w:sz w:val="24"/>
          <w:szCs w:val="24"/>
        </w:rPr>
        <w:t xml:space="preserve">Contudo, </w:t>
      </w:r>
      <w:r w:rsidR="002E6346" w:rsidRPr="00A41B43">
        <w:rPr>
          <w:b w:val="0"/>
          <w:sz w:val="24"/>
          <w:szCs w:val="24"/>
          <w:u w:val="single"/>
        </w:rPr>
        <w:t xml:space="preserve">apesar de os </w:t>
      </w:r>
      <w:r w:rsidR="00EF7AAC" w:rsidRPr="00A41B43">
        <w:rPr>
          <w:b w:val="0"/>
          <w:sz w:val="24"/>
          <w:szCs w:val="24"/>
          <w:u w:val="single"/>
        </w:rPr>
        <w:t>apelados manifestarem que já estariam cumprindo o determinado pel</w:t>
      </w:r>
      <w:r w:rsidR="002643BB" w:rsidRPr="00A41B43">
        <w:rPr>
          <w:b w:val="0"/>
          <w:sz w:val="24"/>
          <w:szCs w:val="24"/>
          <w:u w:val="single"/>
        </w:rPr>
        <w:t>o Conselho Monetário Nacional, os mesmos se recusaram</w:t>
      </w:r>
      <w:r w:rsidR="00230AB9" w:rsidRPr="00A41B43">
        <w:rPr>
          <w:b w:val="0"/>
          <w:sz w:val="24"/>
          <w:szCs w:val="24"/>
          <w:u w:val="single"/>
        </w:rPr>
        <w:t xml:space="preserve"> a</w:t>
      </w:r>
      <w:r w:rsidR="002643BB" w:rsidRPr="00A41B43">
        <w:rPr>
          <w:b w:val="0"/>
          <w:sz w:val="24"/>
          <w:szCs w:val="24"/>
          <w:u w:val="single"/>
        </w:rPr>
        <w:t xml:space="preserve"> ad</w:t>
      </w:r>
      <w:r w:rsidR="00230AB9" w:rsidRPr="00A41B43">
        <w:rPr>
          <w:b w:val="0"/>
          <w:sz w:val="24"/>
          <w:szCs w:val="24"/>
          <w:u w:val="single"/>
        </w:rPr>
        <w:t>eri</w:t>
      </w:r>
      <w:r w:rsidR="002643BB" w:rsidRPr="00A41B43">
        <w:rPr>
          <w:b w:val="0"/>
          <w:sz w:val="24"/>
          <w:szCs w:val="24"/>
          <w:u w:val="single"/>
        </w:rPr>
        <w:t xml:space="preserve">r ao Termo de Ajustamento de </w:t>
      </w:r>
      <w:r w:rsidR="00E30F5B" w:rsidRPr="00A41B43">
        <w:rPr>
          <w:b w:val="0"/>
          <w:sz w:val="24"/>
          <w:szCs w:val="24"/>
          <w:u w:val="single"/>
        </w:rPr>
        <w:t>Conduta</w:t>
      </w:r>
      <w:r w:rsidR="00F05C07" w:rsidRPr="00A41B43">
        <w:rPr>
          <w:b w:val="0"/>
          <w:sz w:val="24"/>
          <w:szCs w:val="24"/>
          <w:u w:val="single"/>
        </w:rPr>
        <w:t xml:space="preserve">, </w:t>
      </w:r>
      <w:r w:rsidR="00A83412" w:rsidRPr="00A41B43">
        <w:rPr>
          <w:b w:val="0"/>
          <w:sz w:val="24"/>
          <w:szCs w:val="24"/>
          <w:u w:val="single"/>
        </w:rPr>
        <w:t>sem nenhuma</w:t>
      </w:r>
      <w:r w:rsidR="00FE6C19" w:rsidRPr="00A41B43">
        <w:rPr>
          <w:b w:val="0"/>
          <w:sz w:val="24"/>
          <w:szCs w:val="24"/>
          <w:u w:val="single"/>
        </w:rPr>
        <w:t xml:space="preserve"> exposição</w:t>
      </w:r>
      <w:r w:rsidR="009156FA" w:rsidRPr="00A41B43">
        <w:rPr>
          <w:b w:val="0"/>
          <w:sz w:val="24"/>
          <w:szCs w:val="24"/>
          <w:u w:val="single"/>
        </w:rPr>
        <w:t xml:space="preserve"> </w:t>
      </w:r>
      <w:r w:rsidR="00E82819" w:rsidRPr="00A41B43">
        <w:rPr>
          <w:b w:val="0"/>
          <w:sz w:val="24"/>
          <w:szCs w:val="24"/>
          <w:u w:val="single"/>
        </w:rPr>
        <w:t>relevante</w:t>
      </w:r>
      <w:r w:rsidR="00FE6C19" w:rsidRPr="00A41B43">
        <w:rPr>
          <w:b w:val="0"/>
          <w:sz w:val="24"/>
          <w:szCs w:val="24"/>
          <w:u w:val="single"/>
        </w:rPr>
        <w:t xml:space="preserve"> de motivos</w:t>
      </w:r>
      <w:r w:rsidR="002C49CF" w:rsidRPr="00A41B43">
        <w:rPr>
          <w:b w:val="0"/>
          <w:sz w:val="24"/>
          <w:szCs w:val="24"/>
          <w:u w:val="single"/>
        </w:rPr>
        <w:t xml:space="preserve"> e ainda </w:t>
      </w:r>
      <w:r w:rsidR="00A83412" w:rsidRPr="00A41B43">
        <w:rPr>
          <w:b w:val="0"/>
          <w:sz w:val="24"/>
          <w:szCs w:val="24"/>
          <w:u w:val="single"/>
        </w:rPr>
        <w:t xml:space="preserve">não apresentando </w:t>
      </w:r>
      <w:r w:rsidR="00837AA5" w:rsidRPr="00A41B43">
        <w:rPr>
          <w:b w:val="0"/>
          <w:sz w:val="24"/>
          <w:szCs w:val="24"/>
          <w:u w:val="single"/>
        </w:rPr>
        <w:t>qualquer</w:t>
      </w:r>
      <w:r w:rsidR="00A83412" w:rsidRPr="00A41B43">
        <w:rPr>
          <w:b w:val="0"/>
          <w:sz w:val="24"/>
          <w:szCs w:val="24"/>
          <w:u w:val="single"/>
        </w:rPr>
        <w:t xml:space="preserve"> </w:t>
      </w:r>
      <w:r w:rsidR="00230FC2" w:rsidRPr="00A41B43">
        <w:rPr>
          <w:b w:val="0"/>
          <w:sz w:val="24"/>
          <w:szCs w:val="24"/>
          <w:u w:val="single"/>
        </w:rPr>
        <w:t xml:space="preserve">comprovação </w:t>
      </w:r>
      <w:r w:rsidR="00837AA5" w:rsidRPr="00A41B43">
        <w:rPr>
          <w:b w:val="0"/>
          <w:sz w:val="24"/>
          <w:szCs w:val="24"/>
          <w:u w:val="single"/>
        </w:rPr>
        <w:t xml:space="preserve">de que haveriam cessado com </w:t>
      </w:r>
      <w:r w:rsidR="00EE3F3E" w:rsidRPr="00A41B43">
        <w:rPr>
          <w:b w:val="0"/>
          <w:sz w:val="24"/>
          <w:szCs w:val="24"/>
          <w:u w:val="single"/>
        </w:rPr>
        <w:t xml:space="preserve">as cobranças de TAC </w:t>
      </w:r>
      <w:r w:rsidR="003905D9" w:rsidRPr="00A41B43">
        <w:rPr>
          <w:b w:val="0"/>
          <w:sz w:val="24"/>
          <w:szCs w:val="24"/>
          <w:u w:val="single"/>
        </w:rPr>
        <w:t>e de</w:t>
      </w:r>
      <w:r w:rsidR="00EE3F3E" w:rsidRPr="00A41B43">
        <w:rPr>
          <w:b w:val="0"/>
          <w:sz w:val="24"/>
          <w:szCs w:val="24"/>
          <w:u w:val="single"/>
        </w:rPr>
        <w:t xml:space="preserve"> TEC após a data de </w:t>
      </w:r>
      <w:r w:rsidR="001C6885" w:rsidRPr="00A41B43">
        <w:rPr>
          <w:b w:val="0"/>
          <w:sz w:val="24"/>
          <w:szCs w:val="24"/>
          <w:u w:val="single"/>
        </w:rPr>
        <w:t>30 de abril de 2008</w:t>
      </w:r>
      <w:r w:rsidR="001C6885">
        <w:rPr>
          <w:b w:val="0"/>
          <w:sz w:val="24"/>
          <w:szCs w:val="24"/>
        </w:rPr>
        <w:t>.</w:t>
      </w:r>
    </w:p>
    <w:p w14:paraId="70D3FC9E" w14:textId="5CD03F56" w:rsidR="001413BE" w:rsidRPr="00F519EA" w:rsidRDefault="000B7E8D">
      <w:pPr>
        <w:pStyle w:val="Standard"/>
        <w:spacing w:line="360" w:lineRule="auto"/>
        <w:jc w:val="both"/>
        <w:rPr>
          <w:bCs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D76C85" w:rsidRPr="00F519EA">
        <w:rPr>
          <w:bCs/>
          <w:sz w:val="24"/>
          <w:szCs w:val="24"/>
        </w:rPr>
        <w:t xml:space="preserve">Isto posto, imediatamente </w:t>
      </w:r>
      <w:r w:rsidR="00895ED0" w:rsidRPr="00F519EA">
        <w:rPr>
          <w:bCs/>
          <w:sz w:val="24"/>
          <w:szCs w:val="24"/>
        </w:rPr>
        <w:t xml:space="preserve">sobrevém os questionamentos: Por que </w:t>
      </w:r>
      <w:r w:rsidR="002101B3" w:rsidRPr="00F519EA">
        <w:rPr>
          <w:bCs/>
          <w:sz w:val="24"/>
          <w:szCs w:val="24"/>
        </w:rPr>
        <w:t xml:space="preserve">as instituições financeiras resistem </w:t>
      </w:r>
      <w:r w:rsidR="00826547" w:rsidRPr="00F519EA">
        <w:rPr>
          <w:bCs/>
          <w:sz w:val="24"/>
          <w:szCs w:val="24"/>
        </w:rPr>
        <w:t xml:space="preserve">em </w:t>
      </w:r>
      <w:r w:rsidR="002101B3" w:rsidRPr="00F519EA">
        <w:rPr>
          <w:bCs/>
          <w:sz w:val="24"/>
          <w:szCs w:val="24"/>
        </w:rPr>
        <w:t>aderir ao Termo de Ajustamento de Conduta</w:t>
      </w:r>
      <w:r w:rsidR="003E50D4" w:rsidRPr="00F519EA">
        <w:rPr>
          <w:bCs/>
          <w:sz w:val="24"/>
          <w:szCs w:val="24"/>
        </w:rPr>
        <w:t xml:space="preserve"> que simplesmente determina </w:t>
      </w:r>
      <w:r w:rsidR="00036205" w:rsidRPr="00F519EA">
        <w:rPr>
          <w:bCs/>
          <w:sz w:val="24"/>
          <w:szCs w:val="24"/>
        </w:rPr>
        <w:t xml:space="preserve">o que </w:t>
      </w:r>
      <w:r w:rsidR="008B3FDB" w:rsidRPr="00F519EA">
        <w:rPr>
          <w:bCs/>
          <w:sz w:val="24"/>
          <w:szCs w:val="24"/>
        </w:rPr>
        <w:t>já estaria</w:t>
      </w:r>
      <w:r w:rsidR="00C32B07" w:rsidRPr="00F519EA">
        <w:rPr>
          <w:bCs/>
          <w:sz w:val="24"/>
          <w:szCs w:val="24"/>
        </w:rPr>
        <w:t>m</w:t>
      </w:r>
      <w:r w:rsidR="008B3FDB" w:rsidRPr="00F519EA">
        <w:rPr>
          <w:bCs/>
          <w:sz w:val="24"/>
          <w:szCs w:val="24"/>
        </w:rPr>
        <w:t xml:space="preserve"> cumprindo</w:t>
      </w:r>
      <w:r w:rsidR="0034244E" w:rsidRPr="00F519EA">
        <w:rPr>
          <w:bCs/>
          <w:sz w:val="24"/>
          <w:szCs w:val="24"/>
        </w:rPr>
        <w:t xml:space="preserve"> (</w:t>
      </w:r>
      <w:r w:rsidR="0023555E" w:rsidRPr="00F519EA">
        <w:rPr>
          <w:bCs/>
          <w:sz w:val="24"/>
          <w:szCs w:val="24"/>
        </w:rPr>
        <w:t>a cess</w:t>
      </w:r>
      <w:r w:rsidR="002E15C9" w:rsidRPr="00F519EA">
        <w:rPr>
          <w:bCs/>
          <w:sz w:val="24"/>
          <w:szCs w:val="24"/>
        </w:rPr>
        <w:t>aç</w:t>
      </w:r>
      <w:r w:rsidR="0023555E" w:rsidRPr="00F519EA">
        <w:rPr>
          <w:bCs/>
          <w:sz w:val="24"/>
          <w:szCs w:val="24"/>
        </w:rPr>
        <w:t>ão da</w:t>
      </w:r>
      <w:r w:rsidR="00F90F16" w:rsidRPr="00F519EA">
        <w:rPr>
          <w:bCs/>
          <w:sz w:val="24"/>
          <w:szCs w:val="24"/>
        </w:rPr>
        <w:t>s</w:t>
      </w:r>
      <w:r w:rsidR="0023555E" w:rsidRPr="00F519EA">
        <w:rPr>
          <w:bCs/>
          <w:sz w:val="24"/>
          <w:szCs w:val="24"/>
        </w:rPr>
        <w:t xml:space="preserve"> cobrança</w:t>
      </w:r>
      <w:r w:rsidR="00F90F16" w:rsidRPr="00F519EA">
        <w:rPr>
          <w:bCs/>
          <w:sz w:val="24"/>
          <w:szCs w:val="24"/>
        </w:rPr>
        <w:t>s</w:t>
      </w:r>
      <w:r w:rsidR="0023555E" w:rsidRPr="00F519EA">
        <w:rPr>
          <w:bCs/>
          <w:sz w:val="24"/>
          <w:szCs w:val="24"/>
        </w:rPr>
        <w:t xml:space="preserve"> </w:t>
      </w:r>
      <w:r w:rsidR="00F90F16" w:rsidRPr="00F519EA">
        <w:rPr>
          <w:bCs/>
          <w:sz w:val="24"/>
          <w:szCs w:val="24"/>
        </w:rPr>
        <w:t xml:space="preserve">das tarifas de abertura de crédito e </w:t>
      </w:r>
      <w:r w:rsidR="004E3127" w:rsidRPr="00F519EA">
        <w:rPr>
          <w:bCs/>
          <w:sz w:val="24"/>
          <w:szCs w:val="24"/>
        </w:rPr>
        <w:t>de emissão de boleto</w:t>
      </w:r>
      <w:r w:rsidR="00C01C8D" w:rsidRPr="00F519EA">
        <w:rPr>
          <w:bCs/>
          <w:sz w:val="24"/>
          <w:szCs w:val="24"/>
        </w:rPr>
        <w:t>,</w:t>
      </w:r>
      <w:r w:rsidR="004E3127" w:rsidRPr="00F519EA">
        <w:rPr>
          <w:bCs/>
          <w:sz w:val="24"/>
          <w:szCs w:val="24"/>
        </w:rPr>
        <w:t xml:space="preserve"> a partir de 30 de abril de </w:t>
      </w:r>
      <w:r w:rsidR="00C01C8D" w:rsidRPr="00F519EA">
        <w:rPr>
          <w:bCs/>
          <w:sz w:val="24"/>
          <w:szCs w:val="24"/>
        </w:rPr>
        <w:t>2008</w:t>
      </w:r>
      <w:r w:rsidR="004E3127" w:rsidRPr="00F519EA">
        <w:rPr>
          <w:bCs/>
          <w:sz w:val="24"/>
          <w:szCs w:val="24"/>
        </w:rPr>
        <w:t>)</w:t>
      </w:r>
      <w:r w:rsidR="008B3FDB" w:rsidRPr="00F519EA">
        <w:rPr>
          <w:bCs/>
          <w:sz w:val="24"/>
          <w:szCs w:val="24"/>
        </w:rPr>
        <w:t xml:space="preserve">? Qual a razão </w:t>
      </w:r>
      <w:r w:rsidR="00016163" w:rsidRPr="00F519EA">
        <w:rPr>
          <w:bCs/>
          <w:sz w:val="24"/>
          <w:szCs w:val="24"/>
        </w:rPr>
        <w:t xml:space="preserve">de não firmar um Termo de Ajustamento de </w:t>
      </w:r>
      <w:r w:rsidR="00C32B07" w:rsidRPr="00F519EA">
        <w:rPr>
          <w:bCs/>
          <w:sz w:val="24"/>
          <w:szCs w:val="24"/>
        </w:rPr>
        <w:t xml:space="preserve">Conduta que visa garantir </w:t>
      </w:r>
      <w:r w:rsidR="00422096" w:rsidRPr="00F519EA">
        <w:rPr>
          <w:bCs/>
          <w:sz w:val="24"/>
          <w:szCs w:val="24"/>
        </w:rPr>
        <w:t xml:space="preserve">o direito do consumidor em não ser cobrado </w:t>
      </w:r>
      <w:r w:rsidR="00750A53" w:rsidRPr="00F519EA">
        <w:rPr>
          <w:bCs/>
          <w:sz w:val="24"/>
          <w:szCs w:val="24"/>
        </w:rPr>
        <w:t xml:space="preserve">por tarifas indevidas e ser </w:t>
      </w:r>
      <w:r w:rsidR="00F017DE" w:rsidRPr="00F519EA">
        <w:rPr>
          <w:bCs/>
          <w:sz w:val="24"/>
          <w:szCs w:val="24"/>
        </w:rPr>
        <w:t xml:space="preserve">ressarcido por eventual pagamento </w:t>
      </w:r>
      <w:r w:rsidR="00E317CD">
        <w:rPr>
          <w:bCs/>
          <w:sz w:val="24"/>
          <w:szCs w:val="24"/>
        </w:rPr>
        <w:t>posterior</w:t>
      </w:r>
      <w:r w:rsidR="00F017DE" w:rsidRPr="00F519EA">
        <w:rPr>
          <w:bCs/>
          <w:sz w:val="24"/>
          <w:szCs w:val="24"/>
        </w:rPr>
        <w:t xml:space="preserve"> a regulamentação do tema</w:t>
      </w:r>
      <w:r w:rsidR="000213FF" w:rsidRPr="00F519EA">
        <w:rPr>
          <w:bCs/>
          <w:sz w:val="24"/>
          <w:szCs w:val="24"/>
        </w:rPr>
        <w:t>?</w:t>
      </w:r>
    </w:p>
    <w:p w14:paraId="70D3FC9F" w14:textId="742ACA84" w:rsidR="001413BE" w:rsidRDefault="00271501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i/>
          <w:iCs/>
          <w:sz w:val="24"/>
          <w:szCs w:val="24"/>
        </w:rPr>
        <w:t xml:space="preserve">Data </w:t>
      </w:r>
      <w:proofErr w:type="spellStart"/>
      <w:r w:rsidR="000D6E7E">
        <w:rPr>
          <w:b w:val="0"/>
          <w:i/>
          <w:iCs/>
          <w:sz w:val="24"/>
          <w:szCs w:val="24"/>
        </w:rPr>
        <w:t>venia</w:t>
      </w:r>
      <w:proofErr w:type="spellEnd"/>
      <w:r w:rsidR="000D6E7E">
        <w:rPr>
          <w:b w:val="0"/>
          <w:i/>
          <w:iCs/>
          <w:sz w:val="24"/>
          <w:szCs w:val="24"/>
        </w:rPr>
        <w:t>,</w:t>
      </w:r>
      <w:r w:rsidR="000D6E7E">
        <w:rPr>
          <w:b w:val="0"/>
          <w:sz w:val="24"/>
          <w:szCs w:val="24"/>
        </w:rPr>
        <w:t xml:space="preserve"> </w:t>
      </w:r>
      <w:r w:rsidR="004D50D0" w:rsidRPr="008A7DE4">
        <w:rPr>
          <w:bCs/>
          <w:sz w:val="24"/>
          <w:szCs w:val="24"/>
          <w:u w:val="single"/>
        </w:rPr>
        <w:t xml:space="preserve">após a configuração </w:t>
      </w:r>
      <w:r w:rsidR="000C586A" w:rsidRPr="008A7DE4">
        <w:rPr>
          <w:bCs/>
          <w:sz w:val="24"/>
          <w:szCs w:val="24"/>
          <w:u w:val="single"/>
        </w:rPr>
        <w:t>d</w:t>
      </w:r>
      <w:r w:rsidR="005C7B56" w:rsidRPr="008A7DE4">
        <w:rPr>
          <w:bCs/>
          <w:sz w:val="24"/>
          <w:szCs w:val="24"/>
          <w:u w:val="single"/>
        </w:rPr>
        <w:t>est</w:t>
      </w:r>
      <w:r w:rsidR="00730A44" w:rsidRPr="008A7DE4">
        <w:rPr>
          <w:bCs/>
          <w:sz w:val="24"/>
          <w:szCs w:val="24"/>
          <w:u w:val="single"/>
        </w:rPr>
        <w:t>e comportamento</w:t>
      </w:r>
      <w:r w:rsidR="00D72B84" w:rsidRPr="008A7DE4">
        <w:rPr>
          <w:bCs/>
          <w:sz w:val="24"/>
          <w:szCs w:val="24"/>
          <w:u w:val="single"/>
        </w:rPr>
        <w:t>, no mínimo, contraditório d</w:t>
      </w:r>
      <w:r w:rsidR="003347B9" w:rsidRPr="008A7DE4">
        <w:rPr>
          <w:bCs/>
          <w:sz w:val="24"/>
          <w:szCs w:val="24"/>
          <w:u w:val="single"/>
        </w:rPr>
        <w:t>os apelados</w:t>
      </w:r>
      <w:r w:rsidR="003347B9" w:rsidRPr="008A7DE4">
        <w:rPr>
          <w:bCs/>
          <w:sz w:val="24"/>
          <w:szCs w:val="24"/>
        </w:rPr>
        <w:t xml:space="preserve">, </w:t>
      </w:r>
      <w:r w:rsidR="000F69EF" w:rsidRPr="008A7DE4">
        <w:rPr>
          <w:bCs/>
          <w:sz w:val="24"/>
          <w:szCs w:val="24"/>
        </w:rPr>
        <w:t xml:space="preserve">acumulado com </w:t>
      </w:r>
      <w:r w:rsidR="00BF68B9">
        <w:rPr>
          <w:bCs/>
          <w:sz w:val="24"/>
          <w:szCs w:val="24"/>
        </w:rPr>
        <w:t xml:space="preserve">os </w:t>
      </w:r>
      <w:r w:rsidR="00AF6B07" w:rsidRPr="008A7DE4">
        <w:rPr>
          <w:bCs/>
          <w:sz w:val="24"/>
          <w:szCs w:val="24"/>
        </w:rPr>
        <w:t>demais fatos</w:t>
      </w:r>
      <w:r w:rsidR="000F69EF" w:rsidRPr="008A7DE4">
        <w:rPr>
          <w:bCs/>
          <w:sz w:val="24"/>
          <w:szCs w:val="24"/>
        </w:rPr>
        <w:t xml:space="preserve"> </w:t>
      </w:r>
      <w:r w:rsidR="00BD1B20" w:rsidRPr="008A7DE4">
        <w:rPr>
          <w:bCs/>
          <w:sz w:val="24"/>
          <w:szCs w:val="24"/>
        </w:rPr>
        <w:t>apresentad</w:t>
      </w:r>
      <w:r w:rsidR="00AF6B07" w:rsidRPr="008A7DE4">
        <w:rPr>
          <w:bCs/>
          <w:sz w:val="24"/>
          <w:szCs w:val="24"/>
        </w:rPr>
        <w:t>o</w:t>
      </w:r>
      <w:r w:rsidR="00BD1B20" w:rsidRPr="008A7DE4">
        <w:rPr>
          <w:bCs/>
          <w:sz w:val="24"/>
          <w:szCs w:val="24"/>
        </w:rPr>
        <w:t>s durante</w:t>
      </w:r>
      <w:r w:rsidR="00890C1A" w:rsidRPr="008A7DE4">
        <w:rPr>
          <w:bCs/>
          <w:sz w:val="24"/>
          <w:szCs w:val="24"/>
        </w:rPr>
        <w:t xml:space="preserve"> </w:t>
      </w:r>
      <w:r w:rsidR="00BD1B20" w:rsidRPr="008A7DE4">
        <w:rPr>
          <w:bCs/>
          <w:sz w:val="24"/>
          <w:szCs w:val="24"/>
        </w:rPr>
        <w:t>o curso da ação</w:t>
      </w:r>
      <w:r w:rsidR="00AF6B07" w:rsidRPr="008A7DE4">
        <w:rPr>
          <w:bCs/>
          <w:sz w:val="24"/>
          <w:szCs w:val="24"/>
        </w:rPr>
        <w:t xml:space="preserve">, é possível inferir que </w:t>
      </w:r>
      <w:r w:rsidR="00DD178F" w:rsidRPr="008A7DE4">
        <w:rPr>
          <w:bCs/>
          <w:sz w:val="24"/>
          <w:szCs w:val="24"/>
          <w:u w:val="single"/>
        </w:rPr>
        <w:t xml:space="preserve">não há </w:t>
      </w:r>
      <w:r w:rsidR="0085240A" w:rsidRPr="008A7DE4">
        <w:rPr>
          <w:bCs/>
          <w:sz w:val="24"/>
          <w:szCs w:val="24"/>
          <w:u w:val="single"/>
        </w:rPr>
        <w:t xml:space="preserve">justificativa </w:t>
      </w:r>
      <w:r w:rsidR="003117EE" w:rsidRPr="008A7DE4">
        <w:rPr>
          <w:bCs/>
          <w:sz w:val="24"/>
          <w:szCs w:val="24"/>
          <w:u w:val="single"/>
        </w:rPr>
        <w:t xml:space="preserve">plausível </w:t>
      </w:r>
      <w:r w:rsidR="0085240A" w:rsidRPr="008A7DE4">
        <w:rPr>
          <w:bCs/>
          <w:sz w:val="24"/>
          <w:szCs w:val="24"/>
          <w:u w:val="single"/>
        </w:rPr>
        <w:t xml:space="preserve">para a </w:t>
      </w:r>
      <w:r w:rsidR="008E60E9" w:rsidRPr="008A7DE4">
        <w:rPr>
          <w:bCs/>
          <w:sz w:val="24"/>
          <w:szCs w:val="24"/>
          <w:u w:val="single"/>
        </w:rPr>
        <w:t xml:space="preserve">recusa das instituições financeiras </w:t>
      </w:r>
      <w:r w:rsidR="002C1D59" w:rsidRPr="008A7DE4">
        <w:rPr>
          <w:bCs/>
          <w:sz w:val="24"/>
          <w:szCs w:val="24"/>
          <w:u w:val="single"/>
        </w:rPr>
        <w:t xml:space="preserve">na adesão ao Termo de Ajustamento de Conduta a não ser </w:t>
      </w:r>
      <w:r w:rsidR="003117EE" w:rsidRPr="008A7DE4">
        <w:rPr>
          <w:bCs/>
          <w:sz w:val="24"/>
          <w:szCs w:val="24"/>
          <w:u w:val="single"/>
        </w:rPr>
        <w:t>a perpetuação da</w:t>
      </w:r>
      <w:r w:rsidR="00B24C07" w:rsidRPr="008A7DE4">
        <w:rPr>
          <w:bCs/>
          <w:sz w:val="24"/>
          <w:szCs w:val="24"/>
          <w:u w:val="single"/>
        </w:rPr>
        <w:t xml:space="preserve"> Tarifa de Abertura de Crédito e da Tarifa de Emissão de Boleto </w:t>
      </w:r>
      <w:r w:rsidR="00D936F1" w:rsidRPr="008A7DE4">
        <w:rPr>
          <w:bCs/>
          <w:sz w:val="24"/>
          <w:szCs w:val="24"/>
          <w:u w:val="single"/>
        </w:rPr>
        <w:t>depois do período estabelecid</w:t>
      </w:r>
      <w:r w:rsidR="008E311F" w:rsidRPr="008A7DE4">
        <w:rPr>
          <w:bCs/>
          <w:sz w:val="24"/>
          <w:szCs w:val="24"/>
          <w:u w:val="single"/>
        </w:rPr>
        <w:t>o pelas Resoluções do C</w:t>
      </w:r>
      <w:r w:rsidR="0026352B" w:rsidRPr="008A7DE4">
        <w:rPr>
          <w:bCs/>
          <w:sz w:val="24"/>
          <w:szCs w:val="24"/>
          <w:u w:val="single"/>
        </w:rPr>
        <w:t xml:space="preserve">onselho </w:t>
      </w:r>
      <w:r w:rsidR="008E311F" w:rsidRPr="008A7DE4">
        <w:rPr>
          <w:bCs/>
          <w:sz w:val="24"/>
          <w:szCs w:val="24"/>
          <w:u w:val="single"/>
        </w:rPr>
        <w:t>M</w:t>
      </w:r>
      <w:r w:rsidR="0026352B" w:rsidRPr="008A7DE4">
        <w:rPr>
          <w:bCs/>
          <w:sz w:val="24"/>
          <w:szCs w:val="24"/>
          <w:u w:val="single"/>
        </w:rPr>
        <w:t xml:space="preserve">onetário </w:t>
      </w:r>
      <w:r w:rsidR="008E311F" w:rsidRPr="008A7DE4">
        <w:rPr>
          <w:bCs/>
          <w:sz w:val="24"/>
          <w:szCs w:val="24"/>
          <w:u w:val="single"/>
        </w:rPr>
        <w:t>N</w:t>
      </w:r>
      <w:r w:rsidR="0026352B" w:rsidRPr="008A7DE4">
        <w:rPr>
          <w:bCs/>
          <w:sz w:val="24"/>
          <w:szCs w:val="24"/>
          <w:u w:val="single"/>
        </w:rPr>
        <w:t>acional</w:t>
      </w:r>
      <w:r w:rsidR="00290BE0" w:rsidRPr="008A7DE4">
        <w:rPr>
          <w:bCs/>
          <w:sz w:val="24"/>
          <w:szCs w:val="24"/>
        </w:rPr>
        <w:t>.</w:t>
      </w:r>
    </w:p>
    <w:p w14:paraId="7917F2EE" w14:textId="4DFFE68F" w:rsidR="00A16C85" w:rsidRDefault="00A16C85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CB2780">
        <w:rPr>
          <w:b w:val="0"/>
          <w:sz w:val="24"/>
          <w:szCs w:val="24"/>
        </w:rPr>
        <w:t>Nesse caso, é</w:t>
      </w:r>
      <w:r w:rsidR="0092246D">
        <w:rPr>
          <w:b w:val="0"/>
          <w:sz w:val="24"/>
          <w:szCs w:val="24"/>
        </w:rPr>
        <w:t xml:space="preserve"> importante frisar que </w:t>
      </w:r>
      <w:r w:rsidR="002777E2">
        <w:rPr>
          <w:b w:val="0"/>
          <w:sz w:val="24"/>
          <w:szCs w:val="24"/>
        </w:rPr>
        <w:t>o</w:t>
      </w:r>
      <w:r w:rsidR="00832E1B">
        <w:rPr>
          <w:b w:val="0"/>
          <w:sz w:val="24"/>
          <w:szCs w:val="24"/>
        </w:rPr>
        <w:t xml:space="preserve">s </w:t>
      </w:r>
      <w:r w:rsidR="00CE2A35">
        <w:rPr>
          <w:b w:val="0"/>
          <w:sz w:val="24"/>
          <w:szCs w:val="24"/>
        </w:rPr>
        <w:t>consumidores, polo hipossuficiente d</w:t>
      </w:r>
      <w:r w:rsidR="00094AC4">
        <w:rPr>
          <w:b w:val="0"/>
          <w:sz w:val="24"/>
          <w:szCs w:val="24"/>
        </w:rPr>
        <w:t>a</w:t>
      </w:r>
      <w:r w:rsidR="00CE2A35">
        <w:rPr>
          <w:b w:val="0"/>
          <w:sz w:val="24"/>
          <w:szCs w:val="24"/>
        </w:rPr>
        <w:t xml:space="preserve"> relação</w:t>
      </w:r>
      <w:r w:rsidR="00094AC4">
        <w:rPr>
          <w:b w:val="0"/>
          <w:sz w:val="24"/>
          <w:szCs w:val="24"/>
        </w:rPr>
        <w:t xml:space="preserve"> em comento</w:t>
      </w:r>
      <w:r w:rsidR="00CE2A35">
        <w:rPr>
          <w:b w:val="0"/>
          <w:sz w:val="24"/>
          <w:szCs w:val="24"/>
        </w:rPr>
        <w:t xml:space="preserve">, são </w:t>
      </w:r>
      <w:r w:rsidR="00BF68B9">
        <w:rPr>
          <w:b w:val="0"/>
          <w:sz w:val="24"/>
          <w:szCs w:val="24"/>
        </w:rPr>
        <w:t xml:space="preserve">os </w:t>
      </w:r>
      <w:r w:rsidR="000E5D01">
        <w:rPr>
          <w:b w:val="0"/>
          <w:sz w:val="24"/>
          <w:szCs w:val="24"/>
        </w:rPr>
        <w:t xml:space="preserve">afetados diretamente com a negativa </w:t>
      </w:r>
      <w:r w:rsidR="001D6EF9">
        <w:rPr>
          <w:b w:val="0"/>
          <w:sz w:val="24"/>
          <w:szCs w:val="24"/>
        </w:rPr>
        <w:t xml:space="preserve">de um direito reconhecido </w:t>
      </w:r>
      <w:r w:rsidR="001A286C">
        <w:rPr>
          <w:b w:val="0"/>
          <w:sz w:val="24"/>
          <w:szCs w:val="24"/>
        </w:rPr>
        <w:t xml:space="preserve">e consolidado no </w:t>
      </w:r>
      <w:r w:rsidR="00295AC3">
        <w:rPr>
          <w:b w:val="0"/>
          <w:sz w:val="24"/>
          <w:szCs w:val="24"/>
        </w:rPr>
        <w:t>ordenamento jurídico brasileiro</w:t>
      </w:r>
      <w:r w:rsidR="004E34F6">
        <w:rPr>
          <w:b w:val="0"/>
          <w:sz w:val="24"/>
          <w:szCs w:val="24"/>
        </w:rPr>
        <w:t xml:space="preserve">: </w:t>
      </w:r>
      <w:r w:rsidR="007043EE">
        <w:rPr>
          <w:b w:val="0"/>
          <w:sz w:val="24"/>
          <w:szCs w:val="24"/>
        </w:rPr>
        <w:t>o de ter</w:t>
      </w:r>
      <w:r w:rsidR="00013A66">
        <w:rPr>
          <w:b w:val="0"/>
          <w:sz w:val="24"/>
          <w:szCs w:val="24"/>
        </w:rPr>
        <w:t xml:space="preserve"> o valor </w:t>
      </w:r>
      <w:r w:rsidR="00BC068C">
        <w:rPr>
          <w:b w:val="0"/>
          <w:sz w:val="24"/>
          <w:szCs w:val="24"/>
        </w:rPr>
        <w:t xml:space="preserve">pago indevidamente </w:t>
      </w:r>
      <w:r w:rsidR="00BC068C">
        <w:rPr>
          <w:b w:val="0"/>
          <w:sz w:val="24"/>
          <w:szCs w:val="24"/>
        </w:rPr>
        <w:lastRenderedPageBreak/>
        <w:t>devolvido em dobro</w:t>
      </w:r>
      <w:r w:rsidR="00473E7F">
        <w:rPr>
          <w:b w:val="0"/>
          <w:sz w:val="24"/>
          <w:szCs w:val="24"/>
        </w:rPr>
        <w:t xml:space="preserve"> (art. 42 do Código de Defesa do Consumidor </w:t>
      </w:r>
      <w:r w:rsidR="00FB6FB5">
        <w:rPr>
          <w:b w:val="0"/>
          <w:sz w:val="24"/>
          <w:szCs w:val="24"/>
        </w:rPr>
        <w:t>–</w:t>
      </w:r>
      <w:r w:rsidR="00847745">
        <w:rPr>
          <w:b w:val="0"/>
          <w:sz w:val="24"/>
          <w:szCs w:val="24"/>
        </w:rPr>
        <w:t xml:space="preserve"> </w:t>
      </w:r>
      <w:r w:rsidR="00FB6FB5">
        <w:rPr>
          <w:b w:val="0"/>
          <w:sz w:val="24"/>
          <w:szCs w:val="24"/>
        </w:rPr>
        <w:t xml:space="preserve">Lei </w:t>
      </w:r>
      <w:r w:rsidR="000B097C">
        <w:rPr>
          <w:b w:val="0"/>
          <w:sz w:val="24"/>
          <w:szCs w:val="24"/>
        </w:rPr>
        <w:t>n° 8.078/1990)</w:t>
      </w:r>
      <w:r w:rsidR="00BC068C">
        <w:rPr>
          <w:b w:val="0"/>
          <w:sz w:val="24"/>
          <w:szCs w:val="24"/>
        </w:rPr>
        <w:t xml:space="preserve">, </w:t>
      </w:r>
      <w:r w:rsidR="00CB7A32">
        <w:rPr>
          <w:b w:val="0"/>
          <w:sz w:val="24"/>
          <w:szCs w:val="24"/>
        </w:rPr>
        <w:t>tendo em v</w:t>
      </w:r>
      <w:r w:rsidR="00572F1B">
        <w:rPr>
          <w:b w:val="0"/>
          <w:sz w:val="24"/>
          <w:szCs w:val="24"/>
        </w:rPr>
        <w:t>ista</w:t>
      </w:r>
      <w:r w:rsidR="00473E7F">
        <w:rPr>
          <w:b w:val="0"/>
          <w:sz w:val="24"/>
          <w:szCs w:val="24"/>
        </w:rPr>
        <w:t xml:space="preserve"> a ile</w:t>
      </w:r>
      <w:r w:rsidR="000B097C">
        <w:rPr>
          <w:b w:val="0"/>
          <w:sz w:val="24"/>
          <w:szCs w:val="24"/>
        </w:rPr>
        <w:t xml:space="preserve">galidade </w:t>
      </w:r>
      <w:r w:rsidR="008E1806">
        <w:rPr>
          <w:b w:val="0"/>
          <w:sz w:val="24"/>
          <w:szCs w:val="24"/>
        </w:rPr>
        <w:t>da cobrança das tarifas.</w:t>
      </w:r>
    </w:p>
    <w:p w14:paraId="39303B6A" w14:textId="41B1CCDA" w:rsidR="00EB7536" w:rsidRDefault="00412788">
      <w:pPr>
        <w:pStyle w:val="Standard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334D11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própri</w:t>
      </w:r>
      <w:r w:rsidR="00334D11">
        <w:rPr>
          <w:b w:val="0"/>
          <w:sz w:val="24"/>
          <w:szCs w:val="24"/>
        </w:rPr>
        <w:t xml:space="preserve">a </w:t>
      </w:r>
      <w:r w:rsidR="00334D11" w:rsidRPr="00334D11">
        <w:rPr>
          <w:b w:val="0"/>
          <w:sz w:val="24"/>
          <w:szCs w:val="24"/>
        </w:rPr>
        <w:t>2ª Câmara Especializada Cível</w:t>
      </w:r>
      <w:r w:rsidR="00334D11">
        <w:rPr>
          <w:b w:val="0"/>
          <w:sz w:val="24"/>
          <w:szCs w:val="24"/>
        </w:rPr>
        <w:t xml:space="preserve"> do</w:t>
      </w:r>
      <w:r>
        <w:rPr>
          <w:b w:val="0"/>
          <w:sz w:val="24"/>
          <w:szCs w:val="24"/>
        </w:rPr>
        <w:t xml:space="preserve"> </w:t>
      </w:r>
      <w:r w:rsidR="000306AA">
        <w:rPr>
          <w:b w:val="0"/>
          <w:sz w:val="24"/>
          <w:szCs w:val="24"/>
        </w:rPr>
        <w:t>Egrégio</w:t>
      </w:r>
      <w:r>
        <w:rPr>
          <w:b w:val="0"/>
          <w:sz w:val="24"/>
          <w:szCs w:val="24"/>
        </w:rPr>
        <w:t xml:space="preserve"> Tribunal </w:t>
      </w:r>
      <w:r w:rsidR="006653BD">
        <w:rPr>
          <w:b w:val="0"/>
          <w:sz w:val="24"/>
          <w:szCs w:val="24"/>
        </w:rPr>
        <w:t xml:space="preserve">corroborou </w:t>
      </w:r>
      <w:r w:rsidR="00491357">
        <w:rPr>
          <w:b w:val="0"/>
          <w:sz w:val="24"/>
          <w:szCs w:val="24"/>
        </w:rPr>
        <w:t xml:space="preserve">com o entendimento de </w:t>
      </w:r>
      <w:r w:rsidR="008132F2">
        <w:rPr>
          <w:b w:val="0"/>
          <w:sz w:val="24"/>
          <w:szCs w:val="24"/>
        </w:rPr>
        <w:t xml:space="preserve">que </w:t>
      </w:r>
      <w:r w:rsidR="00491357">
        <w:rPr>
          <w:b w:val="0"/>
          <w:sz w:val="24"/>
          <w:szCs w:val="24"/>
        </w:rPr>
        <w:t>a</w:t>
      </w:r>
      <w:r w:rsidR="00C45F0C">
        <w:rPr>
          <w:b w:val="0"/>
          <w:sz w:val="24"/>
          <w:szCs w:val="24"/>
        </w:rPr>
        <w:t xml:space="preserve"> cobrança de </w:t>
      </w:r>
      <w:r w:rsidR="009D002B">
        <w:rPr>
          <w:b w:val="0"/>
          <w:sz w:val="24"/>
          <w:szCs w:val="24"/>
        </w:rPr>
        <w:t xml:space="preserve">TAC e de TEC pelas instituições </w:t>
      </w:r>
      <w:r w:rsidR="008132F2">
        <w:rPr>
          <w:b w:val="0"/>
          <w:sz w:val="24"/>
          <w:szCs w:val="24"/>
        </w:rPr>
        <w:t>financeiras aos consumidores é indevida</w:t>
      </w:r>
      <w:r w:rsidR="00761C52">
        <w:rPr>
          <w:b w:val="0"/>
          <w:sz w:val="24"/>
          <w:szCs w:val="24"/>
        </w:rPr>
        <w:t xml:space="preserve">, </w:t>
      </w:r>
      <w:r w:rsidR="000C49ED">
        <w:rPr>
          <w:b w:val="0"/>
          <w:sz w:val="24"/>
          <w:szCs w:val="24"/>
        </w:rPr>
        <w:t xml:space="preserve">constituindo ainda o </w:t>
      </w:r>
      <w:r w:rsidR="000C49ED" w:rsidRPr="000C49ED">
        <w:rPr>
          <w:b w:val="0"/>
          <w:sz w:val="24"/>
          <w:szCs w:val="24"/>
        </w:rPr>
        <w:t xml:space="preserve">enriquecimento sem causa </w:t>
      </w:r>
      <w:r w:rsidR="000C49ED">
        <w:rPr>
          <w:b w:val="0"/>
          <w:sz w:val="24"/>
          <w:szCs w:val="24"/>
        </w:rPr>
        <w:t>destas entidades</w:t>
      </w:r>
      <w:r w:rsidR="004840B5">
        <w:rPr>
          <w:b w:val="0"/>
          <w:sz w:val="24"/>
          <w:szCs w:val="24"/>
        </w:rPr>
        <w:t xml:space="preserve">, </w:t>
      </w:r>
      <w:r w:rsidR="000A130D">
        <w:rPr>
          <w:b w:val="0"/>
          <w:sz w:val="24"/>
          <w:szCs w:val="24"/>
        </w:rPr>
        <w:t>ao citar</w:t>
      </w:r>
      <w:r w:rsidR="00E20C5D">
        <w:rPr>
          <w:b w:val="0"/>
          <w:sz w:val="24"/>
          <w:szCs w:val="24"/>
        </w:rPr>
        <w:t xml:space="preserve"> também</w:t>
      </w:r>
      <w:r w:rsidR="004840B5">
        <w:rPr>
          <w:b w:val="0"/>
          <w:sz w:val="24"/>
          <w:szCs w:val="24"/>
        </w:rPr>
        <w:t xml:space="preserve"> no artigo 51 </w:t>
      </w:r>
      <w:r w:rsidR="00E20C5D">
        <w:rPr>
          <w:b w:val="0"/>
          <w:sz w:val="24"/>
          <w:szCs w:val="24"/>
        </w:rPr>
        <w:t xml:space="preserve">do Código de Defesa do Consumidor que </w:t>
      </w:r>
      <w:r w:rsidR="00DD76EB">
        <w:rPr>
          <w:b w:val="0"/>
          <w:sz w:val="24"/>
          <w:szCs w:val="24"/>
        </w:rPr>
        <w:t xml:space="preserve">estabelece que </w:t>
      </w:r>
      <w:r w:rsidR="005E0E90">
        <w:rPr>
          <w:b w:val="0"/>
          <w:sz w:val="24"/>
          <w:szCs w:val="24"/>
        </w:rPr>
        <w:t>o</w:t>
      </w:r>
      <w:r w:rsidR="000306AA" w:rsidRPr="000306AA">
        <w:rPr>
          <w:b w:val="0"/>
          <w:sz w:val="24"/>
          <w:szCs w:val="24"/>
        </w:rPr>
        <w:t>s serviços prestados pelos bancos são remunerados pela chamada tarifa interbancária</w:t>
      </w:r>
      <w:r w:rsidR="00E47349">
        <w:rPr>
          <w:b w:val="0"/>
          <w:sz w:val="24"/>
          <w:szCs w:val="24"/>
        </w:rPr>
        <w:t>.</w:t>
      </w:r>
      <w:r w:rsidR="000306AA">
        <w:rPr>
          <w:b w:val="0"/>
          <w:sz w:val="24"/>
          <w:szCs w:val="24"/>
        </w:rPr>
        <w:t xml:space="preserve"> </w:t>
      </w:r>
      <w:r w:rsidR="00E47349">
        <w:rPr>
          <w:b w:val="0"/>
          <w:sz w:val="24"/>
          <w:szCs w:val="24"/>
        </w:rPr>
        <w:t>C</w:t>
      </w:r>
      <w:r w:rsidR="000306AA">
        <w:rPr>
          <w:b w:val="0"/>
          <w:sz w:val="24"/>
          <w:szCs w:val="24"/>
        </w:rPr>
        <w:t xml:space="preserve">onforme se </w:t>
      </w:r>
      <w:r w:rsidR="00E47349">
        <w:rPr>
          <w:b w:val="0"/>
          <w:sz w:val="24"/>
          <w:szCs w:val="24"/>
        </w:rPr>
        <w:t>observa</w:t>
      </w:r>
      <w:r w:rsidR="000306AA">
        <w:rPr>
          <w:b w:val="0"/>
          <w:sz w:val="24"/>
          <w:szCs w:val="24"/>
        </w:rPr>
        <w:t xml:space="preserve"> </w:t>
      </w:r>
      <w:r w:rsidR="00231ABF">
        <w:rPr>
          <w:b w:val="0"/>
          <w:sz w:val="24"/>
          <w:szCs w:val="24"/>
        </w:rPr>
        <w:t xml:space="preserve">nos julgados </w:t>
      </w:r>
      <w:r w:rsidR="000306AA">
        <w:rPr>
          <w:b w:val="0"/>
          <w:sz w:val="24"/>
          <w:szCs w:val="24"/>
        </w:rPr>
        <w:t>a seguir:</w:t>
      </w:r>
    </w:p>
    <w:p w14:paraId="3AD95EF5" w14:textId="7BE74E2A" w:rsidR="00EB7536" w:rsidRPr="00EB7536" w:rsidRDefault="00EB7536" w:rsidP="002C3A5B">
      <w:pPr>
        <w:widowControl/>
        <w:suppressAutoHyphens w:val="0"/>
        <w:autoSpaceDN/>
        <w:spacing w:before="100" w:beforeAutospacing="1" w:after="100" w:afterAutospacing="1"/>
        <w:ind w:left="22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t-BR" w:bidi="ar-SA"/>
        </w:rPr>
      </w:pPr>
      <w:r w:rsidRPr="00EB7536">
        <w:rPr>
          <w:rFonts w:eastAsia="Times New Roman" w:cs="Times New Roman"/>
          <w:kern w:val="0"/>
          <w:sz w:val="20"/>
          <w:szCs w:val="20"/>
          <w:lang w:eastAsia="pt-BR" w:bidi="ar-SA"/>
        </w:rPr>
        <w:t xml:space="preserve">APELAÇÃO CÍVEL. DIREITO DO CONSUMIDOR. COBRANÇA DA TAC E TEC IMPOSSIBILIDADE CUSTOS QUE DEVEM SER SUPORTADOS PELA INSTITUIÇÃO FINANCEIRA, POIS DECORRENTES DE SUA PRÓPRIA ATIVIDADE. 1. </w:t>
      </w:r>
      <w:r w:rsidRPr="00EB7536">
        <w:rPr>
          <w:rFonts w:eastAsia="Times New Roman" w:cs="Times New Roman"/>
          <w:b/>
          <w:bCs/>
          <w:kern w:val="0"/>
          <w:sz w:val="20"/>
          <w:szCs w:val="20"/>
          <w:lang w:eastAsia="pt-BR" w:bidi="ar-SA"/>
        </w:rPr>
        <w:t>O art. 51 CDC, preconiza, que os serviços prestados pelos bancos são remunerados pela chamada tarifa interbancária</w:t>
      </w:r>
      <w:r w:rsidRPr="00EB7536">
        <w:rPr>
          <w:rFonts w:eastAsia="Times New Roman" w:cs="Times New Roman"/>
          <w:kern w:val="0"/>
          <w:sz w:val="20"/>
          <w:szCs w:val="20"/>
          <w:lang w:eastAsia="pt-BR" w:bidi="ar-SA"/>
        </w:rPr>
        <w:t xml:space="preserve">. 2. </w:t>
      </w:r>
      <w:r w:rsidRPr="00EB7536">
        <w:rPr>
          <w:rFonts w:eastAsia="Times New Roman" w:cs="Times New Roman"/>
          <w:b/>
          <w:bCs/>
          <w:kern w:val="0"/>
          <w:sz w:val="20"/>
          <w:szCs w:val="20"/>
          <w:lang w:eastAsia="pt-BR" w:bidi="ar-SA"/>
        </w:rPr>
        <w:t>A cobrança de tarifa dos consumidores pelo pagamento mediante boleto ou ficha de compensação constitui enriquecimento sem causa das instituições financeiras, pois há uma dupla remuneração pelo mesmo serviço, o que denota vantagem exagerada dos bancos em detrimento dos consumidores</w:t>
      </w:r>
      <w:r w:rsidRPr="00EB7536">
        <w:rPr>
          <w:rFonts w:eastAsia="Times New Roman" w:cs="Times New Roman"/>
          <w:kern w:val="0"/>
          <w:sz w:val="20"/>
          <w:szCs w:val="20"/>
          <w:lang w:eastAsia="pt-BR" w:bidi="ar-SA"/>
        </w:rPr>
        <w:t xml:space="preserve">. 3. Decisão Mantida. 4. Votação Unânime. </w:t>
      </w:r>
    </w:p>
    <w:p w14:paraId="5F451776" w14:textId="123475BA" w:rsidR="00B01C82" w:rsidRPr="00B01C82" w:rsidRDefault="00EB7536" w:rsidP="00A56651">
      <w:pPr>
        <w:widowControl/>
        <w:suppressAutoHyphens w:val="0"/>
        <w:autoSpaceDN/>
        <w:spacing w:before="100" w:beforeAutospacing="1" w:after="100" w:afterAutospacing="1"/>
        <w:ind w:left="22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t-BR" w:bidi="ar-SA"/>
        </w:rPr>
      </w:pPr>
      <w:r w:rsidRPr="00EB7536">
        <w:rPr>
          <w:rFonts w:eastAsia="Times New Roman" w:cs="Times New Roman"/>
          <w:kern w:val="0"/>
          <w:sz w:val="20"/>
          <w:szCs w:val="20"/>
          <w:lang w:eastAsia="pt-BR" w:bidi="ar-SA"/>
        </w:rPr>
        <w:t>(</w:t>
      </w:r>
      <w:r w:rsidRPr="00EB7536">
        <w:rPr>
          <w:rFonts w:eastAsia="Times New Roman" w:cs="Times New Roman"/>
          <w:b/>
          <w:bCs/>
          <w:kern w:val="0"/>
          <w:sz w:val="20"/>
          <w:szCs w:val="20"/>
          <w:lang w:eastAsia="pt-BR" w:bidi="ar-SA"/>
        </w:rPr>
        <w:t>TJ-PI - AC: 201500010075040 PI 201500010075040, Relator: Des. José James Gomes Pereira, Data de Julgamento: 18/04/2016, 2ª Câmara Especializada Cível</w:t>
      </w:r>
      <w:r w:rsidRPr="00EB7536">
        <w:rPr>
          <w:rFonts w:eastAsia="Times New Roman" w:cs="Times New Roman"/>
          <w:kern w:val="0"/>
          <w:sz w:val="20"/>
          <w:szCs w:val="20"/>
          <w:lang w:eastAsia="pt-BR" w:bidi="ar-SA"/>
        </w:rPr>
        <w:t>)</w:t>
      </w:r>
      <w:r w:rsidR="00231ABF">
        <w:rPr>
          <w:rFonts w:eastAsia="Times New Roman" w:cs="Times New Roman"/>
          <w:kern w:val="0"/>
          <w:sz w:val="20"/>
          <w:szCs w:val="20"/>
          <w:lang w:eastAsia="pt-BR" w:bidi="ar-SA"/>
        </w:rPr>
        <w:t xml:space="preserve"> (grifos inseridos)</w:t>
      </w:r>
    </w:p>
    <w:p w14:paraId="57961664" w14:textId="77777777" w:rsidR="00B01C82" w:rsidRDefault="00B01C82" w:rsidP="00A56651">
      <w:pPr>
        <w:widowControl/>
        <w:suppressAutoHyphens w:val="0"/>
        <w:autoSpaceDN/>
        <w:spacing w:before="100" w:beforeAutospacing="1" w:after="100" w:afterAutospacing="1"/>
        <w:ind w:left="22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t-BR" w:bidi="ar-SA"/>
        </w:rPr>
      </w:pPr>
    </w:p>
    <w:p w14:paraId="201CB6B1" w14:textId="2B510BF9" w:rsidR="00834F11" w:rsidRPr="00834F11" w:rsidRDefault="00834F11" w:rsidP="00A56651">
      <w:pPr>
        <w:widowControl/>
        <w:suppressAutoHyphens w:val="0"/>
        <w:autoSpaceDN/>
        <w:spacing w:before="100" w:beforeAutospacing="1" w:after="100" w:afterAutospacing="1"/>
        <w:ind w:left="22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t-BR" w:bidi="ar-SA"/>
        </w:rPr>
      </w:pPr>
      <w:r w:rsidRPr="00834F11">
        <w:rPr>
          <w:rFonts w:eastAsia="Times New Roman" w:cs="Times New Roman"/>
          <w:kern w:val="0"/>
          <w:sz w:val="20"/>
          <w:szCs w:val="20"/>
          <w:lang w:eastAsia="pt-BR" w:bidi="ar-SA"/>
        </w:rPr>
        <w:t xml:space="preserve">APELAÇÃO CÍVEL. DIREITO DO CONSUMIDOR. COBRANÇA DA TAC E TEC IMPOSSIBILIDADE CUSTOS QUE DEVEM SER SUPORTADOS PELA INSTITUIÇÃO FINANCEIRA, POIS DECORRENTES DE SUA PRÓPRIA ATIVIDADE. 1. </w:t>
      </w:r>
      <w:r w:rsidRPr="00834F11">
        <w:rPr>
          <w:rFonts w:eastAsia="Times New Roman" w:cs="Times New Roman"/>
          <w:b/>
          <w:bCs/>
          <w:kern w:val="0"/>
          <w:sz w:val="20"/>
          <w:szCs w:val="20"/>
          <w:lang w:eastAsia="pt-BR" w:bidi="ar-SA"/>
        </w:rPr>
        <w:t>O art. 51 CDC, preconiza, que os serviços prestados pelos bancos são remunerados pela chamada tarifa interbancária</w:t>
      </w:r>
      <w:r w:rsidRPr="00834F11">
        <w:rPr>
          <w:rFonts w:eastAsia="Times New Roman" w:cs="Times New Roman"/>
          <w:kern w:val="0"/>
          <w:sz w:val="20"/>
          <w:szCs w:val="20"/>
          <w:lang w:eastAsia="pt-BR" w:bidi="ar-SA"/>
        </w:rPr>
        <w:t xml:space="preserve">. 2. </w:t>
      </w:r>
      <w:r w:rsidRPr="00834F11">
        <w:rPr>
          <w:rFonts w:eastAsia="Times New Roman" w:cs="Times New Roman"/>
          <w:b/>
          <w:bCs/>
          <w:kern w:val="0"/>
          <w:sz w:val="20"/>
          <w:szCs w:val="20"/>
          <w:lang w:eastAsia="pt-BR" w:bidi="ar-SA"/>
        </w:rPr>
        <w:t>A cobrança de tarifa dos consumidores pelo pagamento mediante boleto ou ficha de compensação constitui enriquecimento sem causa das instituições financeiras, pois há uma dupla remuneração pelo mesmo serviço, o que denota vantagem exagerada dos bancos em detrimento dos consumidores.</w:t>
      </w:r>
      <w:r w:rsidRPr="00834F11">
        <w:rPr>
          <w:rFonts w:eastAsia="Times New Roman" w:cs="Times New Roman"/>
          <w:kern w:val="0"/>
          <w:sz w:val="20"/>
          <w:szCs w:val="20"/>
          <w:lang w:eastAsia="pt-BR" w:bidi="ar-SA"/>
        </w:rPr>
        <w:t xml:space="preserve"> 3. Conhecimento do presente recurso, mas para negar-lhe provimento, mantendo a sentença guerreada em todos os seus termos. 4. Votação Unânime.</w:t>
      </w:r>
      <w:r w:rsidR="00E70ACD">
        <w:rPr>
          <w:rFonts w:eastAsia="Times New Roman" w:cs="Times New Roman"/>
          <w:kern w:val="0"/>
          <w:sz w:val="20"/>
          <w:szCs w:val="20"/>
          <w:lang w:eastAsia="pt-BR" w:bidi="ar-SA"/>
        </w:rPr>
        <w:t xml:space="preserve"> </w:t>
      </w:r>
    </w:p>
    <w:p w14:paraId="215B4BF9" w14:textId="2C4BA73D" w:rsidR="000306AA" w:rsidRPr="00834F11" w:rsidRDefault="00834F11" w:rsidP="00A56651">
      <w:pPr>
        <w:widowControl/>
        <w:suppressAutoHyphens w:val="0"/>
        <w:autoSpaceDN/>
        <w:spacing w:before="100" w:beforeAutospacing="1" w:after="100" w:afterAutospacing="1"/>
        <w:ind w:left="22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t-BR" w:bidi="ar-SA"/>
        </w:rPr>
      </w:pPr>
      <w:r w:rsidRPr="00834F11">
        <w:rPr>
          <w:rFonts w:eastAsia="Times New Roman" w:cs="Times New Roman"/>
          <w:kern w:val="0"/>
          <w:sz w:val="20"/>
          <w:szCs w:val="20"/>
          <w:lang w:eastAsia="pt-BR" w:bidi="ar-SA"/>
        </w:rPr>
        <w:t>(</w:t>
      </w:r>
      <w:r w:rsidRPr="00834F11">
        <w:rPr>
          <w:rFonts w:eastAsia="Times New Roman" w:cs="Times New Roman"/>
          <w:b/>
          <w:bCs/>
          <w:kern w:val="0"/>
          <w:sz w:val="20"/>
          <w:szCs w:val="20"/>
          <w:lang w:eastAsia="pt-BR" w:bidi="ar-SA"/>
        </w:rPr>
        <w:t>TJ-PI - AC: 00008700420148180026 PI, Relator: Des. José James Gomes Pereira, Data de Julgamento: 20/03/2018, 2ª Câmara Especializada Cível</w:t>
      </w:r>
      <w:r w:rsidRPr="00834F11">
        <w:rPr>
          <w:rFonts w:eastAsia="Times New Roman" w:cs="Times New Roman"/>
          <w:kern w:val="0"/>
          <w:sz w:val="20"/>
          <w:szCs w:val="20"/>
          <w:lang w:eastAsia="pt-BR" w:bidi="ar-SA"/>
        </w:rPr>
        <w:t>)</w:t>
      </w:r>
      <w:r w:rsidR="00BC4FC8">
        <w:rPr>
          <w:rFonts w:eastAsia="Times New Roman" w:cs="Times New Roman"/>
          <w:kern w:val="0"/>
          <w:sz w:val="20"/>
          <w:szCs w:val="20"/>
          <w:lang w:eastAsia="pt-BR" w:bidi="ar-SA"/>
        </w:rPr>
        <w:t xml:space="preserve"> (grifos inseridos)</w:t>
      </w:r>
    </w:p>
    <w:p w14:paraId="70D3FCA0" w14:textId="397AC222" w:rsidR="001413BE" w:rsidRDefault="00271501">
      <w:pPr>
        <w:pStyle w:val="Standard"/>
        <w:spacing w:line="360" w:lineRule="auto"/>
        <w:jc w:val="both"/>
      </w:pPr>
      <w:r>
        <w:rPr>
          <w:b w:val="0"/>
          <w:sz w:val="24"/>
          <w:szCs w:val="24"/>
        </w:rPr>
        <w:lastRenderedPageBreak/>
        <w:tab/>
      </w:r>
      <w:r>
        <w:rPr>
          <w:b w:val="0"/>
          <w:sz w:val="24"/>
          <w:szCs w:val="24"/>
        </w:rPr>
        <w:tab/>
        <w:t xml:space="preserve">Por tudo exposto, o que se demonstra é </w:t>
      </w:r>
      <w:r w:rsidR="006F3A2F">
        <w:rPr>
          <w:b w:val="0"/>
          <w:sz w:val="24"/>
          <w:szCs w:val="24"/>
        </w:rPr>
        <w:t xml:space="preserve">que </w:t>
      </w:r>
      <w:r w:rsidR="001A0A59">
        <w:rPr>
          <w:b w:val="0"/>
          <w:sz w:val="24"/>
          <w:szCs w:val="24"/>
        </w:rPr>
        <w:t xml:space="preserve">diante da conduta </w:t>
      </w:r>
      <w:r w:rsidR="00D72DAF">
        <w:rPr>
          <w:b w:val="0"/>
          <w:sz w:val="24"/>
          <w:szCs w:val="24"/>
        </w:rPr>
        <w:t>contraditória dos recorridos</w:t>
      </w:r>
      <w:r w:rsidR="001A0A59">
        <w:rPr>
          <w:b w:val="0"/>
          <w:sz w:val="24"/>
          <w:szCs w:val="24"/>
        </w:rPr>
        <w:t xml:space="preserve"> que </w:t>
      </w:r>
      <w:r w:rsidR="008B55C8">
        <w:rPr>
          <w:b w:val="0"/>
          <w:sz w:val="24"/>
          <w:szCs w:val="24"/>
        </w:rPr>
        <w:t xml:space="preserve">tende a </w:t>
      </w:r>
      <w:r w:rsidR="001A0A59">
        <w:rPr>
          <w:b w:val="0"/>
          <w:sz w:val="24"/>
          <w:szCs w:val="24"/>
        </w:rPr>
        <w:t>ating</w:t>
      </w:r>
      <w:r w:rsidR="008B55C8">
        <w:rPr>
          <w:b w:val="0"/>
          <w:sz w:val="24"/>
          <w:szCs w:val="24"/>
        </w:rPr>
        <w:t>ir</w:t>
      </w:r>
      <w:r w:rsidR="001A0A59">
        <w:rPr>
          <w:b w:val="0"/>
          <w:sz w:val="24"/>
          <w:szCs w:val="24"/>
        </w:rPr>
        <w:t xml:space="preserve"> a coletividade de </w:t>
      </w:r>
      <w:r w:rsidR="008B55C8">
        <w:rPr>
          <w:b w:val="0"/>
          <w:sz w:val="24"/>
          <w:szCs w:val="24"/>
        </w:rPr>
        <w:t>consumidores</w:t>
      </w:r>
      <w:r w:rsidR="001A0A59">
        <w:rPr>
          <w:b w:val="0"/>
          <w:sz w:val="24"/>
          <w:szCs w:val="24"/>
        </w:rPr>
        <w:t>, necessário é a REFORMA DA DECISÃO, para condenar o</w:t>
      </w:r>
      <w:r w:rsidR="00243F6B">
        <w:rPr>
          <w:b w:val="0"/>
          <w:sz w:val="24"/>
          <w:szCs w:val="24"/>
        </w:rPr>
        <w:t>s</w:t>
      </w:r>
      <w:r w:rsidR="001A0A59">
        <w:rPr>
          <w:b w:val="0"/>
          <w:sz w:val="24"/>
          <w:szCs w:val="24"/>
        </w:rPr>
        <w:t xml:space="preserve"> requerido</w:t>
      </w:r>
      <w:r w:rsidR="00243F6B">
        <w:rPr>
          <w:b w:val="0"/>
          <w:sz w:val="24"/>
          <w:szCs w:val="24"/>
        </w:rPr>
        <w:t>s</w:t>
      </w:r>
      <w:r w:rsidR="001A0A59">
        <w:rPr>
          <w:b w:val="0"/>
          <w:sz w:val="24"/>
          <w:szCs w:val="24"/>
        </w:rPr>
        <w:t xml:space="preserve"> </w:t>
      </w:r>
      <w:r w:rsidR="00FC3260">
        <w:rPr>
          <w:b w:val="0"/>
          <w:sz w:val="24"/>
          <w:szCs w:val="24"/>
        </w:rPr>
        <w:t xml:space="preserve">a </w:t>
      </w:r>
      <w:r w:rsidR="00AE0BF7">
        <w:rPr>
          <w:b w:val="0"/>
          <w:sz w:val="24"/>
          <w:szCs w:val="24"/>
        </w:rPr>
        <w:t>restituírem em dobro os valores indevidamente cobrados</w:t>
      </w:r>
      <w:r w:rsidR="001A0A59">
        <w:rPr>
          <w:b w:val="0"/>
          <w:sz w:val="24"/>
          <w:szCs w:val="24"/>
        </w:rPr>
        <w:t>, conforme requerido na inicial.</w:t>
      </w:r>
    </w:p>
    <w:p w14:paraId="70D3FCAD" w14:textId="55FB78A8" w:rsidR="001413BE" w:rsidRPr="00A56651" w:rsidRDefault="00271501">
      <w:pPr>
        <w:pStyle w:val="Textbody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tbl>
      <w:tblPr>
        <w:tblW w:w="8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0"/>
      </w:tblGrid>
      <w:tr w:rsidR="001413BE" w14:paraId="70D3FCAF" w14:textId="77777777">
        <w:trPr>
          <w:trHeight w:val="241"/>
        </w:trPr>
        <w:tc>
          <w:tcPr>
            <w:tcW w:w="8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3FCAE" w14:textId="52301D0D" w:rsidR="001413BE" w:rsidRDefault="00A56651">
            <w:pPr>
              <w:pStyle w:val="Cabealho"/>
              <w:widowControl w:val="0"/>
              <w:spacing w:line="360" w:lineRule="auto"/>
              <w:jc w:val="both"/>
            </w:pPr>
            <w:r>
              <w:rPr>
                <w:bCs/>
                <w:sz w:val="24"/>
                <w:szCs w:val="24"/>
              </w:rPr>
              <w:t>3</w:t>
            </w:r>
            <w:r w:rsidR="00271501">
              <w:rPr>
                <w:bCs/>
                <w:sz w:val="24"/>
                <w:szCs w:val="24"/>
              </w:rPr>
              <w:t xml:space="preserve"> – </w:t>
            </w:r>
            <w:r w:rsidR="00271501">
              <w:rPr>
                <w:bCs/>
                <w:color w:val="000000"/>
                <w:sz w:val="24"/>
                <w:szCs w:val="24"/>
              </w:rPr>
              <w:t>DOS PEDIDOS</w:t>
            </w:r>
          </w:p>
        </w:tc>
      </w:tr>
    </w:tbl>
    <w:p w14:paraId="70D3FCB0" w14:textId="77777777" w:rsidR="001413BE" w:rsidRDefault="001413BE">
      <w:pPr>
        <w:pStyle w:val="Textbody"/>
        <w:spacing w:after="0" w:line="360" w:lineRule="auto"/>
        <w:jc w:val="both"/>
        <w:rPr>
          <w:sz w:val="24"/>
          <w:szCs w:val="24"/>
        </w:rPr>
      </w:pPr>
    </w:p>
    <w:p w14:paraId="70D3FCB1" w14:textId="77777777" w:rsidR="001413BE" w:rsidRDefault="00271501">
      <w:pPr>
        <w:pStyle w:val="Standard"/>
        <w:spacing w:line="360" w:lineRule="auto"/>
        <w:jc w:val="both"/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>
        <w:rPr>
          <w:b w:val="0"/>
          <w:i/>
          <w:iCs/>
          <w:sz w:val="24"/>
          <w:szCs w:val="24"/>
        </w:rPr>
        <w:t>Ex</w:t>
      </w:r>
      <w:proofErr w:type="spellEnd"/>
      <w:r>
        <w:rPr>
          <w:b w:val="0"/>
          <w:i/>
          <w:iCs/>
          <w:sz w:val="24"/>
          <w:szCs w:val="24"/>
        </w:rPr>
        <w:t xml:space="preserve"> positis</w:t>
      </w:r>
      <w:r>
        <w:rPr>
          <w:b w:val="0"/>
          <w:sz w:val="24"/>
          <w:szCs w:val="24"/>
        </w:rPr>
        <w:t xml:space="preserve">, o Apelante REQUER </w:t>
      </w:r>
      <w:r>
        <w:rPr>
          <w:rFonts w:eastAsia="Lucida Sans Unicode"/>
          <w:b w:val="0"/>
          <w:sz w:val="24"/>
          <w:szCs w:val="24"/>
        </w:rPr>
        <w:t>o conhecimento e o provimento do presente recurso para REFORMAR a Sentença atacada e deferir, como autoriza o art. 1.019, inciso I, do CPC/2015, efeito suspensivo à decisão</w:t>
      </w:r>
      <w:r>
        <w:rPr>
          <w:rFonts w:eastAsia="Lucida Sans Unicode"/>
          <w:b w:val="0"/>
          <w:i/>
          <w:iCs/>
          <w:sz w:val="24"/>
          <w:szCs w:val="24"/>
        </w:rPr>
        <w:t>.</w:t>
      </w:r>
    </w:p>
    <w:p w14:paraId="70D3FCB2" w14:textId="3106B3CA" w:rsidR="001413BE" w:rsidRPr="00796769" w:rsidRDefault="00271501">
      <w:pPr>
        <w:pStyle w:val="Standard"/>
        <w:spacing w:line="360" w:lineRule="auto"/>
        <w:jc w:val="both"/>
        <w:rPr>
          <w:bCs/>
          <w:i/>
          <w:iCs/>
          <w:sz w:val="24"/>
          <w:szCs w:val="24"/>
        </w:rPr>
      </w:pPr>
      <w:r>
        <w:rPr>
          <w:rFonts w:eastAsia="Lucida Sans Unicode"/>
          <w:b w:val="0"/>
          <w:i/>
          <w:iCs/>
          <w:sz w:val="24"/>
          <w:szCs w:val="24"/>
        </w:rPr>
        <w:tab/>
      </w:r>
      <w:r>
        <w:rPr>
          <w:rFonts w:eastAsia="Lucida Sans Unicode"/>
          <w:b w:val="0"/>
          <w:i/>
          <w:iCs/>
          <w:sz w:val="24"/>
          <w:szCs w:val="24"/>
        </w:rPr>
        <w:tab/>
      </w:r>
      <w:r w:rsidR="00144CC9">
        <w:rPr>
          <w:rFonts w:eastAsia="Lucida Sans Unicode"/>
          <w:b w:val="0"/>
          <w:sz w:val="24"/>
          <w:szCs w:val="24"/>
        </w:rPr>
        <w:t>Pleiteia</w:t>
      </w:r>
      <w:r>
        <w:rPr>
          <w:b w:val="0"/>
          <w:sz w:val="24"/>
          <w:szCs w:val="24"/>
        </w:rPr>
        <w:t xml:space="preserve"> que esta Egrégia Corte reedite mais uma de suas brilhantes atuações, para, em considerando tudo o mais que dos autos consta, conheça as razões recursais, proferindo-se nova decisão (CPC, art. 1.010, inc. IV), acolhendo os pedidos formulados na inicial para</w:t>
      </w:r>
      <w:r w:rsidR="007967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condenar o</w:t>
      </w:r>
      <w:r w:rsidR="005A3A2F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 xml:space="preserve"> Réu</w:t>
      </w:r>
      <w:r w:rsidR="005A3A2F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 xml:space="preserve"> </w:t>
      </w:r>
      <w:r w:rsidR="005A3A2F">
        <w:rPr>
          <w:b w:val="0"/>
          <w:sz w:val="24"/>
          <w:szCs w:val="24"/>
        </w:rPr>
        <w:t xml:space="preserve">a indenizar </w:t>
      </w:r>
      <w:r w:rsidR="00754135">
        <w:rPr>
          <w:b w:val="0"/>
          <w:sz w:val="24"/>
          <w:szCs w:val="24"/>
        </w:rPr>
        <w:t xml:space="preserve">os consumidores lesados, em razão da cobrança </w:t>
      </w:r>
      <w:r w:rsidR="00A4498F">
        <w:rPr>
          <w:b w:val="0"/>
          <w:sz w:val="24"/>
          <w:szCs w:val="24"/>
        </w:rPr>
        <w:t>de  TAC e de TEC</w:t>
      </w:r>
      <w:r>
        <w:rPr>
          <w:b w:val="0"/>
          <w:sz w:val="24"/>
          <w:szCs w:val="24"/>
        </w:rPr>
        <w:t xml:space="preserve">, </w:t>
      </w:r>
      <w:r w:rsidR="00A4498F">
        <w:rPr>
          <w:b w:val="0"/>
          <w:sz w:val="24"/>
          <w:szCs w:val="24"/>
        </w:rPr>
        <w:t xml:space="preserve">com a devolução </w:t>
      </w:r>
      <w:r w:rsidR="00C87942">
        <w:rPr>
          <w:b w:val="0"/>
          <w:sz w:val="24"/>
          <w:szCs w:val="24"/>
        </w:rPr>
        <w:t xml:space="preserve">dos valores indevidamente cobrados, em dobro e corrigidos </w:t>
      </w:r>
      <w:r w:rsidR="00A42802">
        <w:rPr>
          <w:b w:val="0"/>
          <w:sz w:val="24"/>
          <w:szCs w:val="24"/>
        </w:rPr>
        <w:t xml:space="preserve">monetariamente, nos moldes do artigo 42 do CDC, </w:t>
      </w:r>
      <w:r>
        <w:rPr>
          <w:b w:val="0"/>
          <w:sz w:val="24"/>
          <w:szCs w:val="24"/>
        </w:rPr>
        <w:t>conforme pedido inicial.</w:t>
      </w:r>
    </w:p>
    <w:p w14:paraId="70D3FCB3" w14:textId="77777777" w:rsidR="001413BE" w:rsidRDefault="00271501">
      <w:pPr>
        <w:pStyle w:val="Standard"/>
        <w:spacing w:line="360" w:lineRule="auto"/>
        <w:jc w:val="both"/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Requer</w:t>
      </w:r>
      <w:r>
        <w:rPr>
          <w:rFonts w:eastAsia="Lucida Sans Unicode"/>
          <w:b w:val="0"/>
          <w:i/>
          <w:iCs/>
          <w:sz w:val="24"/>
          <w:szCs w:val="24"/>
        </w:rPr>
        <w:t xml:space="preserve"> </w:t>
      </w:r>
      <w:r>
        <w:rPr>
          <w:rStyle w:val="StrongEmphasis"/>
          <w:rFonts w:eastAsia="Lucida Sans Unicode"/>
          <w:bCs w:val="0"/>
          <w:sz w:val="24"/>
          <w:szCs w:val="24"/>
        </w:rPr>
        <w:t>a intimação do Apelado para, querendo, responder no prazo legal, bem como a condenação do mesmo</w:t>
      </w:r>
      <w:r>
        <w:rPr>
          <w:b w:val="0"/>
          <w:color w:val="000000"/>
          <w:sz w:val="24"/>
          <w:szCs w:val="24"/>
          <w:lang w:eastAsia="pt-BR"/>
        </w:rPr>
        <w:t xml:space="preserve"> nos ônus sucumbenciais recursais.</w:t>
      </w:r>
    </w:p>
    <w:p w14:paraId="58D6E9A0" w14:textId="77777777" w:rsidR="00A56651" w:rsidRDefault="00271501">
      <w:pPr>
        <w:pStyle w:val="Textbody"/>
        <w:spacing w:after="0" w:line="360" w:lineRule="auto"/>
        <w:jc w:val="both"/>
        <w:rPr>
          <w:b w:val="0"/>
          <w:color w:val="000000"/>
          <w:sz w:val="24"/>
          <w:szCs w:val="24"/>
          <w:lang w:eastAsia="pt-BR"/>
        </w:rPr>
      </w:pPr>
      <w:r>
        <w:rPr>
          <w:b w:val="0"/>
          <w:color w:val="000000"/>
          <w:sz w:val="24"/>
          <w:szCs w:val="24"/>
          <w:lang w:eastAsia="pt-BR"/>
        </w:rPr>
        <w:tab/>
      </w:r>
      <w:r>
        <w:rPr>
          <w:b w:val="0"/>
          <w:color w:val="000000"/>
          <w:sz w:val="24"/>
          <w:szCs w:val="24"/>
          <w:lang w:eastAsia="pt-BR"/>
        </w:rPr>
        <w:tab/>
      </w:r>
    </w:p>
    <w:p w14:paraId="70D3FCB4" w14:textId="348BE087" w:rsidR="001413BE" w:rsidRDefault="00A56651" w:rsidP="00BD77ED">
      <w:pPr>
        <w:pStyle w:val="Textbody"/>
        <w:spacing w:after="0" w:line="240" w:lineRule="auto"/>
        <w:jc w:val="both"/>
        <w:rPr>
          <w:b w:val="0"/>
          <w:color w:val="000000"/>
          <w:sz w:val="24"/>
          <w:szCs w:val="24"/>
          <w:lang w:eastAsia="pt-BR"/>
        </w:rPr>
      </w:pPr>
      <w:r>
        <w:rPr>
          <w:b w:val="0"/>
          <w:color w:val="000000"/>
          <w:sz w:val="24"/>
          <w:szCs w:val="24"/>
          <w:lang w:eastAsia="pt-BR"/>
        </w:rPr>
        <w:tab/>
      </w:r>
      <w:r>
        <w:rPr>
          <w:b w:val="0"/>
          <w:color w:val="000000"/>
          <w:sz w:val="24"/>
          <w:szCs w:val="24"/>
          <w:lang w:eastAsia="pt-BR"/>
        </w:rPr>
        <w:tab/>
      </w:r>
      <w:r w:rsidR="00271501">
        <w:rPr>
          <w:b w:val="0"/>
          <w:color w:val="000000"/>
          <w:sz w:val="24"/>
          <w:szCs w:val="24"/>
          <w:lang w:eastAsia="pt-BR"/>
        </w:rPr>
        <w:t>Nestes Termos,</w:t>
      </w:r>
    </w:p>
    <w:p w14:paraId="70D3FCB5" w14:textId="77777777" w:rsidR="001413BE" w:rsidRDefault="00271501" w:rsidP="00BD77ED">
      <w:pPr>
        <w:pStyle w:val="Textbody"/>
        <w:spacing w:after="0" w:line="240" w:lineRule="auto"/>
        <w:jc w:val="both"/>
        <w:rPr>
          <w:b w:val="0"/>
          <w:color w:val="000000"/>
          <w:sz w:val="24"/>
          <w:szCs w:val="24"/>
          <w:lang w:eastAsia="pt-BR"/>
        </w:rPr>
      </w:pPr>
      <w:r>
        <w:rPr>
          <w:b w:val="0"/>
          <w:color w:val="000000"/>
          <w:sz w:val="24"/>
          <w:szCs w:val="24"/>
          <w:lang w:eastAsia="pt-BR"/>
        </w:rPr>
        <w:tab/>
      </w:r>
      <w:r>
        <w:rPr>
          <w:b w:val="0"/>
          <w:color w:val="000000"/>
          <w:sz w:val="24"/>
          <w:szCs w:val="24"/>
          <w:lang w:eastAsia="pt-BR"/>
        </w:rPr>
        <w:tab/>
        <w:t>Pede Deferimento.</w:t>
      </w:r>
    </w:p>
    <w:p w14:paraId="03B746CA" w14:textId="77777777" w:rsidR="00A56651" w:rsidRDefault="00271501">
      <w:pPr>
        <w:pStyle w:val="Textbody"/>
        <w:widowControl w:val="0"/>
        <w:autoSpaceDE w:val="0"/>
        <w:spacing w:after="0" w:line="360" w:lineRule="auto"/>
        <w:jc w:val="both"/>
        <w:rPr>
          <w:b w:val="0"/>
          <w:color w:val="000000"/>
          <w:sz w:val="24"/>
          <w:szCs w:val="24"/>
          <w:lang w:eastAsia="pt-BR"/>
        </w:rPr>
      </w:pPr>
      <w:r>
        <w:rPr>
          <w:b w:val="0"/>
          <w:color w:val="000000"/>
          <w:sz w:val="24"/>
          <w:szCs w:val="24"/>
          <w:lang w:eastAsia="pt-BR"/>
        </w:rPr>
        <w:tab/>
      </w:r>
      <w:r>
        <w:rPr>
          <w:b w:val="0"/>
          <w:color w:val="000000"/>
          <w:sz w:val="24"/>
          <w:szCs w:val="24"/>
          <w:lang w:eastAsia="pt-BR"/>
        </w:rPr>
        <w:tab/>
      </w:r>
    </w:p>
    <w:p w14:paraId="70D3FCB6" w14:textId="753169DD" w:rsidR="001413BE" w:rsidRDefault="00271501" w:rsidP="00A56651">
      <w:pPr>
        <w:pStyle w:val="Textbody"/>
        <w:widowControl w:val="0"/>
        <w:autoSpaceDE w:val="0"/>
        <w:spacing w:after="0" w:line="360" w:lineRule="auto"/>
        <w:jc w:val="right"/>
        <w:rPr>
          <w:b w:val="0"/>
          <w:color w:val="000000"/>
          <w:sz w:val="24"/>
          <w:szCs w:val="24"/>
          <w:lang w:eastAsia="pt-BR"/>
        </w:rPr>
      </w:pPr>
      <w:r>
        <w:rPr>
          <w:b w:val="0"/>
          <w:color w:val="000000"/>
          <w:sz w:val="24"/>
          <w:szCs w:val="24"/>
          <w:lang w:eastAsia="pt-BR"/>
        </w:rPr>
        <w:t xml:space="preserve">Teresina, </w:t>
      </w:r>
      <w:r w:rsidR="00915D6A">
        <w:rPr>
          <w:b w:val="0"/>
          <w:color w:val="000000"/>
          <w:sz w:val="24"/>
          <w:szCs w:val="24"/>
          <w:lang w:eastAsia="pt-BR"/>
        </w:rPr>
        <w:t>30</w:t>
      </w:r>
      <w:r>
        <w:rPr>
          <w:b w:val="0"/>
          <w:color w:val="000000"/>
          <w:sz w:val="24"/>
          <w:szCs w:val="24"/>
          <w:lang w:eastAsia="pt-BR"/>
        </w:rPr>
        <w:t xml:space="preserve"> de </w:t>
      </w:r>
      <w:r w:rsidR="000D6E7E">
        <w:rPr>
          <w:b w:val="0"/>
          <w:color w:val="000000"/>
          <w:sz w:val="24"/>
          <w:szCs w:val="24"/>
          <w:lang w:eastAsia="pt-BR"/>
        </w:rPr>
        <w:t>julho</w:t>
      </w:r>
      <w:r>
        <w:rPr>
          <w:b w:val="0"/>
          <w:color w:val="000000"/>
          <w:sz w:val="24"/>
          <w:szCs w:val="24"/>
          <w:lang w:eastAsia="pt-BR"/>
        </w:rPr>
        <w:t xml:space="preserve"> de 2021.</w:t>
      </w:r>
    </w:p>
    <w:p w14:paraId="70D3FCB7" w14:textId="77777777" w:rsidR="001413BE" w:rsidRDefault="001413BE">
      <w:pPr>
        <w:pStyle w:val="Textbody"/>
        <w:widowControl w:val="0"/>
        <w:autoSpaceDE w:val="0"/>
        <w:spacing w:after="0" w:line="360" w:lineRule="auto"/>
        <w:ind w:left="610" w:firstLine="1400"/>
        <w:jc w:val="both"/>
        <w:rPr>
          <w:bCs/>
          <w:color w:val="000000"/>
          <w:sz w:val="24"/>
          <w:szCs w:val="24"/>
          <w:lang w:eastAsia="pt-BR"/>
        </w:rPr>
      </w:pPr>
    </w:p>
    <w:p w14:paraId="21F3EFCA" w14:textId="7C7828D6" w:rsidR="00BD77ED" w:rsidRDefault="00BD77ED">
      <w:pPr>
        <w:pStyle w:val="Textbody"/>
        <w:widowControl w:val="0"/>
        <w:autoSpaceDE w:val="0"/>
        <w:spacing w:after="0" w:line="360" w:lineRule="auto"/>
        <w:ind w:left="610" w:firstLine="1400"/>
        <w:jc w:val="both"/>
        <w:rPr>
          <w:bCs/>
          <w:color w:val="000000"/>
          <w:sz w:val="24"/>
          <w:szCs w:val="24"/>
          <w:lang w:eastAsia="pt-BR"/>
        </w:rPr>
      </w:pPr>
    </w:p>
    <w:p w14:paraId="28C3875D" w14:textId="77777777" w:rsidR="00BD77ED" w:rsidRDefault="00BD77ED">
      <w:pPr>
        <w:pStyle w:val="Textbody"/>
        <w:widowControl w:val="0"/>
        <w:autoSpaceDE w:val="0"/>
        <w:spacing w:after="0" w:line="360" w:lineRule="auto"/>
        <w:ind w:left="610" w:firstLine="1400"/>
        <w:jc w:val="both"/>
        <w:rPr>
          <w:bCs/>
          <w:color w:val="000000"/>
          <w:sz w:val="24"/>
          <w:szCs w:val="24"/>
          <w:lang w:eastAsia="pt-BR"/>
        </w:rPr>
      </w:pPr>
    </w:p>
    <w:p w14:paraId="70D3FCBA" w14:textId="77777777" w:rsidR="001413BE" w:rsidRDefault="00271501">
      <w:pPr>
        <w:pStyle w:val="Textbody"/>
        <w:widowControl w:val="0"/>
        <w:autoSpaceDE w:val="0"/>
        <w:spacing w:after="0"/>
        <w:jc w:val="center"/>
        <w:rPr>
          <w:bCs/>
          <w:color w:val="000000"/>
          <w:sz w:val="24"/>
          <w:szCs w:val="24"/>
          <w:lang w:eastAsia="pt-BR"/>
        </w:rPr>
      </w:pPr>
      <w:r>
        <w:rPr>
          <w:bCs/>
          <w:color w:val="000000"/>
          <w:sz w:val="24"/>
          <w:szCs w:val="24"/>
          <w:lang w:eastAsia="pt-BR"/>
        </w:rPr>
        <w:t>Nivaldo Ribeiro</w:t>
      </w:r>
    </w:p>
    <w:p w14:paraId="70D3FCBB" w14:textId="77777777" w:rsidR="001413BE" w:rsidRDefault="00271501">
      <w:pPr>
        <w:pStyle w:val="Textbody"/>
        <w:widowControl w:val="0"/>
        <w:autoSpaceDE w:val="0"/>
        <w:spacing w:after="0"/>
        <w:jc w:val="center"/>
        <w:rPr>
          <w:b w:val="0"/>
          <w:color w:val="000000"/>
          <w:sz w:val="24"/>
          <w:szCs w:val="24"/>
          <w:lang w:eastAsia="pt-BR"/>
        </w:rPr>
      </w:pPr>
      <w:r>
        <w:rPr>
          <w:b w:val="0"/>
          <w:color w:val="000000"/>
          <w:sz w:val="24"/>
          <w:szCs w:val="24"/>
          <w:lang w:eastAsia="pt-BR"/>
        </w:rPr>
        <w:t>Promotor de Justiça</w:t>
      </w:r>
    </w:p>
    <w:p w14:paraId="70D3FCBC" w14:textId="77777777" w:rsidR="001413BE" w:rsidRDefault="00271501">
      <w:pPr>
        <w:pStyle w:val="Textbody"/>
        <w:widowControl w:val="0"/>
        <w:autoSpaceDE w:val="0"/>
        <w:spacing w:after="0"/>
        <w:jc w:val="center"/>
        <w:rPr>
          <w:b w:val="0"/>
          <w:color w:val="000000"/>
          <w:sz w:val="24"/>
          <w:szCs w:val="24"/>
          <w:shd w:val="clear" w:color="auto" w:fill="FFFFFF"/>
          <w:lang w:eastAsia="pt-BR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pt-BR"/>
        </w:rPr>
        <w:t>Coordenador PROCON/MP/PI</w:t>
      </w:r>
    </w:p>
    <w:sectPr w:rsidR="001413BE">
      <w:headerReference w:type="default" r:id="rId8"/>
      <w:footerReference w:type="default" r:id="rId9"/>
      <w:pgSz w:w="11906" w:h="16838"/>
      <w:pgMar w:top="3245" w:right="1134" w:bottom="1932" w:left="1905" w:header="1276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C63F" w14:textId="77777777" w:rsidR="00DC4B65" w:rsidRDefault="00DC4B65">
      <w:r>
        <w:separator/>
      </w:r>
    </w:p>
  </w:endnote>
  <w:endnote w:type="continuationSeparator" w:id="0">
    <w:p w14:paraId="3238F6D4" w14:textId="77777777" w:rsidR="00DC4B65" w:rsidRDefault="00DC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 Arial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FC41" w14:textId="77777777" w:rsidR="009F3008" w:rsidRDefault="00271501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E923" w14:textId="77777777" w:rsidR="00DC4B65" w:rsidRDefault="00DC4B65">
      <w:r>
        <w:rPr>
          <w:color w:val="000000"/>
        </w:rPr>
        <w:separator/>
      </w:r>
    </w:p>
  </w:footnote>
  <w:footnote w:type="continuationSeparator" w:id="0">
    <w:p w14:paraId="29326814" w14:textId="77777777" w:rsidR="00DC4B65" w:rsidRDefault="00DC4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5116" w14:textId="1373FFFF" w:rsidR="007A56BE" w:rsidRPr="006A785C" w:rsidRDefault="00271501" w:rsidP="006A785C">
    <w:pPr>
      <w:pStyle w:val="Standard"/>
      <w:widowControl w:val="0"/>
      <w:autoSpaceDE w:val="0"/>
      <w:spacing w:line="200" w:lineRule="atLeast"/>
      <w:jc w:val="center"/>
      <w:rPr>
        <w:sz w:val="4"/>
        <w:szCs w:val="4"/>
      </w:rPr>
    </w:pPr>
    <w:r>
      <w:rPr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70D3FC31" wp14:editId="70D3FC32">
          <wp:simplePos x="0" y="0"/>
          <wp:positionH relativeFrom="column">
            <wp:posOffset>1136520</wp:posOffset>
          </wp:positionH>
          <wp:positionV relativeFrom="paragraph">
            <wp:posOffset>0</wp:posOffset>
          </wp:positionV>
          <wp:extent cx="3346919" cy="560160"/>
          <wp:effectExtent l="0" t="0" r="5881" b="0"/>
          <wp:wrapTopAndBottom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6919" cy="5601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Cs/>
        <w:sz w:val="22"/>
        <w:szCs w:val="22"/>
      </w:rPr>
      <w:t>MINISTÉRIO PÚBLICO DO ESTADO DO PIAUÍ</w:t>
    </w:r>
  </w:p>
  <w:p w14:paraId="70D3FC3D" w14:textId="77777777" w:rsidR="009F3008" w:rsidRDefault="00271501" w:rsidP="007A56BE">
    <w:pPr>
      <w:pStyle w:val="Standard"/>
      <w:widowControl w:val="0"/>
      <w:pBdr>
        <w:bottom w:val="single" w:sz="8" w:space="2" w:color="000000"/>
      </w:pBdr>
      <w:autoSpaceDE w:val="0"/>
      <w:spacing w:line="276" w:lineRule="auto"/>
      <w:jc w:val="center"/>
      <w:rPr>
        <w:bCs/>
        <w:sz w:val="22"/>
        <w:szCs w:val="22"/>
      </w:rPr>
    </w:pPr>
    <w:r>
      <w:rPr>
        <w:bCs/>
        <w:sz w:val="22"/>
        <w:szCs w:val="22"/>
      </w:rPr>
      <w:t>PROGRAMA DE PROTEÇÃO E DEFESA DO CONSUMIDOR</w:t>
    </w:r>
  </w:p>
  <w:p w14:paraId="70D3FC3E" w14:textId="77777777" w:rsidR="009F3008" w:rsidRDefault="00271501" w:rsidP="007A56BE">
    <w:pPr>
      <w:pStyle w:val="Standard"/>
      <w:widowControl w:val="0"/>
      <w:pBdr>
        <w:bottom w:val="single" w:sz="8" w:space="2" w:color="000000"/>
      </w:pBdr>
      <w:autoSpaceDE w:val="0"/>
      <w:spacing w:line="276" w:lineRule="auto"/>
      <w:jc w:val="center"/>
      <w:rPr>
        <w:b w:val="0"/>
        <w:sz w:val="18"/>
        <w:szCs w:val="18"/>
      </w:rPr>
    </w:pPr>
    <w:r>
      <w:rPr>
        <w:b w:val="0"/>
        <w:sz w:val="18"/>
        <w:szCs w:val="18"/>
      </w:rPr>
      <w:t>Rua Lindolfo Monteiro, nº 911, Bairro de Fátima, CEP nº 64049-440, Teresina – PI</w:t>
    </w:r>
  </w:p>
  <w:p w14:paraId="70D3FC3F" w14:textId="77777777" w:rsidR="009F3008" w:rsidRDefault="00271501" w:rsidP="007A56BE">
    <w:pPr>
      <w:pStyle w:val="Standard"/>
      <w:widowControl w:val="0"/>
      <w:pBdr>
        <w:bottom w:val="single" w:sz="8" w:space="2" w:color="000000"/>
      </w:pBdr>
      <w:autoSpaceDE w:val="0"/>
      <w:spacing w:line="276" w:lineRule="auto"/>
      <w:jc w:val="center"/>
      <w:rPr>
        <w:b w:val="0"/>
        <w:sz w:val="18"/>
        <w:szCs w:val="18"/>
      </w:rPr>
    </w:pPr>
    <w:r>
      <w:rPr>
        <w:b w:val="0"/>
        <w:sz w:val="18"/>
        <w:szCs w:val="18"/>
      </w:rPr>
      <w:t>Telefones: (086) 3223-9980/ Ramais 512/515/516 / E-mail: procon@mppi.mp.br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A20"/>
    <w:multiLevelType w:val="multilevel"/>
    <w:tmpl w:val="E068721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B8C290E"/>
    <w:multiLevelType w:val="multilevel"/>
    <w:tmpl w:val="71CACF64"/>
    <w:styleLink w:val="WW8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BE"/>
    <w:rsid w:val="0000717A"/>
    <w:rsid w:val="000071BE"/>
    <w:rsid w:val="00013A66"/>
    <w:rsid w:val="00016163"/>
    <w:rsid w:val="000213FF"/>
    <w:rsid w:val="0002146B"/>
    <w:rsid w:val="000306AA"/>
    <w:rsid w:val="00036205"/>
    <w:rsid w:val="00036389"/>
    <w:rsid w:val="000416AC"/>
    <w:rsid w:val="00041759"/>
    <w:rsid w:val="000424F0"/>
    <w:rsid w:val="00055951"/>
    <w:rsid w:val="0006241A"/>
    <w:rsid w:val="0007608D"/>
    <w:rsid w:val="0008709B"/>
    <w:rsid w:val="00094AC4"/>
    <w:rsid w:val="000A130D"/>
    <w:rsid w:val="000A38AC"/>
    <w:rsid w:val="000A3F3F"/>
    <w:rsid w:val="000B097C"/>
    <w:rsid w:val="000B469E"/>
    <w:rsid w:val="000B72C5"/>
    <w:rsid w:val="000B7E8D"/>
    <w:rsid w:val="000C49ED"/>
    <w:rsid w:val="000C586A"/>
    <w:rsid w:val="000D6E7E"/>
    <w:rsid w:val="000E044C"/>
    <w:rsid w:val="000E5D01"/>
    <w:rsid w:val="000F289C"/>
    <w:rsid w:val="000F52AF"/>
    <w:rsid w:val="000F69EF"/>
    <w:rsid w:val="000F6C5E"/>
    <w:rsid w:val="001028D5"/>
    <w:rsid w:val="00105A42"/>
    <w:rsid w:val="0012547C"/>
    <w:rsid w:val="001413BE"/>
    <w:rsid w:val="00142257"/>
    <w:rsid w:val="00144CC9"/>
    <w:rsid w:val="00152BC3"/>
    <w:rsid w:val="001637B7"/>
    <w:rsid w:val="00167290"/>
    <w:rsid w:val="00171486"/>
    <w:rsid w:val="001A0A59"/>
    <w:rsid w:val="001A2156"/>
    <w:rsid w:val="001A286C"/>
    <w:rsid w:val="001C6183"/>
    <w:rsid w:val="001C6885"/>
    <w:rsid w:val="001D2D2E"/>
    <w:rsid w:val="001D6EF9"/>
    <w:rsid w:val="001E1D27"/>
    <w:rsid w:val="001E6966"/>
    <w:rsid w:val="001F1917"/>
    <w:rsid w:val="002063AD"/>
    <w:rsid w:val="002101B3"/>
    <w:rsid w:val="0022693A"/>
    <w:rsid w:val="00227059"/>
    <w:rsid w:val="00230AB9"/>
    <w:rsid w:val="00230FC2"/>
    <w:rsid w:val="00231ABF"/>
    <w:rsid w:val="0023555E"/>
    <w:rsid w:val="00235D95"/>
    <w:rsid w:val="0024150F"/>
    <w:rsid w:val="00243F6B"/>
    <w:rsid w:val="00245B49"/>
    <w:rsid w:val="00253067"/>
    <w:rsid w:val="0026352B"/>
    <w:rsid w:val="002643BB"/>
    <w:rsid w:val="00271501"/>
    <w:rsid w:val="002777E2"/>
    <w:rsid w:val="002845DE"/>
    <w:rsid w:val="00290BE0"/>
    <w:rsid w:val="00293433"/>
    <w:rsid w:val="002943AB"/>
    <w:rsid w:val="00295AC3"/>
    <w:rsid w:val="002A1965"/>
    <w:rsid w:val="002B2365"/>
    <w:rsid w:val="002B53A3"/>
    <w:rsid w:val="002B5D7B"/>
    <w:rsid w:val="002C1D59"/>
    <w:rsid w:val="002C3A5B"/>
    <w:rsid w:val="002C49CF"/>
    <w:rsid w:val="002C7681"/>
    <w:rsid w:val="002D0620"/>
    <w:rsid w:val="002E15C9"/>
    <w:rsid w:val="002E1EFE"/>
    <w:rsid w:val="002E6346"/>
    <w:rsid w:val="002F18B2"/>
    <w:rsid w:val="003009D8"/>
    <w:rsid w:val="003107FC"/>
    <w:rsid w:val="003117EE"/>
    <w:rsid w:val="0032154A"/>
    <w:rsid w:val="003254C7"/>
    <w:rsid w:val="003347B9"/>
    <w:rsid w:val="00334D11"/>
    <w:rsid w:val="00335129"/>
    <w:rsid w:val="00340B34"/>
    <w:rsid w:val="0034244E"/>
    <w:rsid w:val="00355D92"/>
    <w:rsid w:val="0035697C"/>
    <w:rsid w:val="003851CF"/>
    <w:rsid w:val="003905D9"/>
    <w:rsid w:val="003A0CE7"/>
    <w:rsid w:val="003A54F4"/>
    <w:rsid w:val="003C61F7"/>
    <w:rsid w:val="003E50D4"/>
    <w:rsid w:val="003F6372"/>
    <w:rsid w:val="00412788"/>
    <w:rsid w:val="004143B7"/>
    <w:rsid w:val="00422096"/>
    <w:rsid w:val="004304C2"/>
    <w:rsid w:val="0043076D"/>
    <w:rsid w:val="00432A6E"/>
    <w:rsid w:val="00442314"/>
    <w:rsid w:val="00473E7F"/>
    <w:rsid w:val="004840B5"/>
    <w:rsid w:val="00491357"/>
    <w:rsid w:val="00492BEC"/>
    <w:rsid w:val="00496003"/>
    <w:rsid w:val="004A2D31"/>
    <w:rsid w:val="004B58F6"/>
    <w:rsid w:val="004C2CA7"/>
    <w:rsid w:val="004D50D0"/>
    <w:rsid w:val="004D72E7"/>
    <w:rsid w:val="004E0A23"/>
    <w:rsid w:val="004E3127"/>
    <w:rsid w:val="004E34F6"/>
    <w:rsid w:val="004E56FD"/>
    <w:rsid w:val="004E63FD"/>
    <w:rsid w:val="004E7F06"/>
    <w:rsid w:val="004F61AE"/>
    <w:rsid w:val="00517B79"/>
    <w:rsid w:val="00522D05"/>
    <w:rsid w:val="005255AB"/>
    <w:rsid w:val="00537326"/>
    <w:rsid w:val="00537604"/>
    <w:rsid w:val="00552AC6"/>
    <w:rsid w:val="0055675D"/>
    <w:rsid w:val="00567918"/>
    <w:rsid w:val="00572F1B"/>
    <w:rsid w:val="005A3A2F"/>
    <w:rsid w:val="005B0575"/>
    <w:rsid w:val="005C7B56"/>
    <w:rsid w:val="005E0E90"/>
    <w:rsid w:val="005F1FF8"/>
    <w:rsid w:val="005F33C8"/>
    <w:rsid w:val="00624CD8"/>
    <w:rsid w:val="00644915"/>
    <w:rsid w:val="00656D8E"/>
    <w:rsid w:val="006653BD"/>
    <w:rsid w:val="006A785C"/>
    <w:rsid w:val="006C0055"/>
    <w:rsid w:val="006C6932"/>
    <w:rsid w:val="006D5F10"/>
    <w:rsid w:val="006F3A2F"/>
    <w:rsid w:val="007043EE"/>
    <w:rsid w:val="00717E55"/>
    <w:rsid w:val="00727E23"/>
    <w:rsid w:val="00730A44"/>
    <w:rsid w:val="00750A53"/>
    <w:rsid w:val="00754135"/>
    <w:rsid w:val="00761C52"/>
    <w:rsid w:val="00763665"/>
    <w:rsid w:val="007736FC"/>
    <w:rsid w:val="00784B7B"/>
    <w:rsid w:val="007947F9"/>
    <w:rsid w:val="00796769"/>
    <w:rsid w:val="007A2542"/>
    <w:rsid w:val="007A56BE"/>
    <w:rsid w:val="007A67D9"/>
    <w:rsid w:val="007C6352"/>
    <w:rsid w:val="007C7CFD"/>
    <w:rsid w:val="007D463C"/>
    <w:rsid w:val="00800031"/>
    <w:rsid w:val="00804F12"/>
    <w:rsid w:val="008132F2"/>
    <w:rsid w:val="00826547"/>
    <w:rsid w:val="008319B5"/>
    <w:rsid w:val="00832E1B"/>
    <w:rsid w:val="00834F11"/>
    <w:rsid w:val="00837AA5"/>
    <w:rsid w:val="00844EE4"/>
    <w:rsid w:val="00847745"/>
    <w:rsid w:val="0085240A"/>
    <w:rsid w:val="00883BCD"/>
    <w:rsid w:val="00890C1A"/>
    <w:rsid w:val="00894867"/>
    <w:rsid w:val="00895ED0"/>
    <w:rsid w:val="008A406F"/>
    <w:rsid w:val="008A7DE4"/>
    <w:rsid w:val="008B3FDB"/>
    <w:rsid w:val="008B55C8"/>
    <w:rsid w:val="008B793A"/>
    <w:rsid w:val="008C7B3D"/>
    <w:rsid w:val="008D5545"/>
    <w:rsid w:val="008E1806"/>
    <w:rsid w:val="008E311F"/>
    <w:rsid w:val="008E5C07"/>
    <w:rsid w:val="008E60E9"/>
    <w:rsid w:val="008F3504"/>
    <w:rsid w:val="009156FA"/>
    <w:rsid w:val="00915876"/>
    <w:rsid w:val="00915D6A"/>
    <w:rsid w:val="0091647A"/>
    <w:rsid w:val="0092246D"/>
    <w:rsid w:val="00935D92"/>
    <w:rsid w:val="00936314"/>
    <w:rsid w:val="009668CC"/>
    <w:rsid w:val="00986870"/>
    <w:rsid w:val="00995D05"/>
    <w:rsid w:val="009A19DB"/>
    <w:rsid w:val="009A4A92"/>
    <w:rsid w:val="009B7988"/>
    <w:rsid w:val="009D002B"/>
    <w:rsid w:val="009D082F"/>
    <w:rsid w:val="009D30BC"/>
    <w:rsid w:val="009D61D9"/>
    <w:rsid w:val="009E2CB3"/>
    <w:rsid w:val="009F74B5"/>
    <w:rsid w:val="00A16C85"/>
    <w:rsid w:val="00A41B43"/>
    <w:rsid w:val="00A42802"/>
    <w:rsid w:val="00A4498F"/>
    <w:rsid w:val="00A5478D"/>
    <w:rsid w:val="00A56651"/>
    <w:rsid w:val="00A641EF"/>
    <w:rsid w:val="00A65E06"/>
    <w:rsid w:val="00A83412"/>
    <w:rsid w:val="00AA5075"/>
    <w:rsid w:val="00AE0BF7"/>
    <w:rsid w:val="00AE61D4"/>
    <w:rsid w:val="00AE75F3"/>
    <w:rsid w:val="00AF0DD7"/>
    <w:rsid w:val="00AF6B07"/>
    <w:rsid w:val="00B01C82"/>
    <w:rsid w:val="00B1101A"/>
    <w:rsid w:val="00B12AA1"/>
    <w:rsid w:val="00B15B1A"/>
    <w:rsid w:val="00B24C07"/>
    <w:rsid w:val="00B56A1D"/>
    <w:rsid w:val="00B67B37"/>
    <w:rsid w:val="00B7358C"/>
    <w:rsid w:val="00B82F42"/>
    <w:rsid w:val="00BC068C"/>
    <w:rsid w:val="00BC4FC8"/>
    <w:rsid w:val="00BD1B20"/>
    <w:rsid w:val="00BD77ED"/>
    <w:rsid w:val="00BE044D"/>
    <w:rsid w:val="00BF51DA"/>
    <w:rsid w:val="00BF68B9"/>
    <w:rsid w:val="00BF6A5F"/>
    <w:rsid w:val="00C01C8D"/>
    <w:rsid w:val="00C04627"/>
    <w:rsid w:val="00C173BA"/>
    <w:rsid w:val="00C31093"/>
    <w:rsid w:val="00C32B07"/>
    <w:rsid w:val="00C45F0C"/>
    <w:rsid w:val="00C6445D"/>
    <w:rsid w:val="00C87942"/>
    <w:rsid w:val="00C90633"/>
    <w:rsid w:val="00C97EE8"/>
    <w:rsid w:val="00CA2DE0"/>
    <w:rsid w:val="00CB2780"/>
    <w:rsid w:val="00CB3D52"/>
    <w:rsid w:val="00CB7A32"/>
    <w:rsid w:val="00CD1CDD"/>
    <w:rsid w:val="00CD5937"/>
    <w:rsid w:val="00CE2A35"/>
    <w:rsid w:val="00CF2D25"/>
    <w:rsid w:val="00CF4453"/>
    <w:rsid w:val="00D128FC"/>
    <w:rsid w:val="00D17B66"/>
    <w:rsid w:val="00D3552A"/>
    <w:rsid w:val="00D42436"/>
    <w:rsid w:val="00D46054"/>
    <w:rsid w:val="00D46B4B"/>
    <w:rsid w:val="00D72B84"/>
    <w:rsid w:val="00D72DAF"/>
    <w:rsid w:val="00D7319A"/>
    <w:rsid w:val="00D76C85"/>
    <w:rsid w:val="00D936F1"/>
    <w:rsid w:val="00DB0900"/>
    <w:rsid w:val="00DB6C46"/>
    <w:rsid w:val="00DC1EA5"/>
    <w:rsid w:val="00DC4B65"/>
    <w:rsid w:val="00DD178F"/>
    <w:rsid w:val="00DD76EB"/>
    <w:rsid w:val="00E20C5D"/>
    <w:rsid w:val="00E2465E"/>
    <w:rsid w:val="00E30F5B"/>
    <w:rsid w:val="00E317CD"/>
    <w:rsid w:val="00E372A8"/>
    <w:rsid w:val="00E37947"/>
    <w:rsid w:val="00E43E8B"/>
    <w:rsid w:val="00E4648B"/>
    <w:rsid w:val="00E47349"/>
    <w:rsid w:val="00E50573"/>
    <w:rsid w:val="00E5302D"/>
    <w:rsid w:val="00E70ACD"/>
    <w:rsid w:val="00E82819"/>
    <w:rsid w:val="00EA1320"/>
    <w:rsid w:val="00EB7536"/>
    <w:rsid w:val="00EC1A37"/>
    <w:rsid w:val="00EC41BC"/>
    <w:rsid w:val="00ED5F06"/>
    <w:rsid w:val="00EE3F3E"/>
    <w:rsid w:val="00EF7AAC"/>
    <w:rsid w:val="00F017DE"/>
    <w:rsid w:val="00F05C07"/>
    <w:rsid w:val="00F1247D"/>
    <w:rsid w:val="00F127A2"/>
    <w:rsid w:val="00F40879"/>
    <w:rsid w:val="00F40982"/>
    <w:rsid w:val="00F519EA"/>
    <w:rsid w:val="00F77DF2"/>
    <w:rsid w:val="00F824A0"/>
    <w:rsid w:val="00F90F16"/>
    <w:rsid w:val="00F97CCB"/>
    <w:rsid w:val="00FA3B35"/>
    <w:rsid w:val="00FB19DC"/>
    <w:rsid w:val="00FB6FB5"/>
    <w:rsid w:val="00FC3260"/>
    <w:rsid w:val="00FD58BC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FC25"/>
  <w15:docId w15:val="{BA000750-33D4-4656-8BE7-3E496F64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Ttulo"/>
    <w:next w:val="Textbody"/>
    <w:uiPriority w:val="9"/>
    <w:unhideWhenUsed/>
    <w:qFormat/>
    <w:pPr>
      <w:outlineLvl w:val="2"/>
    </w:pPr>
    <w:rPr>
      <w:rFonts w:ascii="Times New Roman" w:eastAsia="SimSun" w:hAnsi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rFonts w:eastAsia="Times New Roman" w:cs="Times New Roman"/>
      <w:b/>
      <w:sz w:val="20"/>
      <w:szCs w:val="20"/>
      <w:lang w:bidi="ar-SA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1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tulo2">
    <w:name w:val="Título2"/>
    <w:basedOn w:val="Ttulo1"/>
    <w:next w:val="Subttulo"/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Standard"/>
    <w:pPr>
      <w:suppressLineNumbers/>
      <w:tabs>
        <w:tab w:val="center" w:pos="4419"/>
        <w:tab w:val="right" w:pos="8838"/>
      </w:tabs>
    </w:p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</w:rPr>
  </w:style>
  <w:style w:type="paragraph" w:styleId="Rodap">
    <w:name w:val="footer"/>
    <w:basedOn w:val="Standard"/>
    <w:pPr>
      <w:suppressLineNumbers/>
      <w:tabs>
        <w:tab w:val="center" w:pos="4433"/>
        <w:tab w:val="right" w:pos="8867"/>
      </w:tabs>
    </w:pPr>
  </w:style>
  <w:style w:type="paragraph" w:customStyle="1" w:styleId="Footnote">
    <w:name w:val="Footnote"/>
    <w:basedOn w:val="Standard"/>
    <w:pPr>
      <w:spacing w:line="240" w:lineRule="auto"/>
    </w:pPr>
    <w:rPr>
      <w:b w:val="0"/>
    </w:rPr>
  </w:style>
  <w:style w:type="paragraph" w:customStyle="1" w:styleId="PreformattedText">
    <w:name w:val="Preformatted Text"/>
    <w:basedOn w:val="Standard"/>
    <w:pPr>
      <w:spacing w:line="240" w:lineRule="auto"/>
    </w:pPr>
    <w:rPr>
      <w:rFonts w:ascii="Courier New" w:eastAsia="NSimSun" w:hAnsi="Courier New" w:cs="Courier New"/>
      <w:b w:val="0"/>
    </w:rPr>
  </w:style>
  <w:style w:type="paragraph" w:styleId="NormalWeb">
    <w:name w:val="Normal (Web)"/>
    <w:basedOn w:val="Standard"/>
    <w:uiPriority w:val="99"/>
    <w:pPr>
      <w:suppressAutoHyphens w:val="0"/>
      <w:spacing w:before="280" w:after="280" w:line="240" w:lineRule="auto"/>
    </w:pPr>
    <w:rPr>
      <w:b w:val="0"/>
      <w:sz w:val="24"/>
      <w:szCs w:val="24"/>
    </w:rPr>
  </w:style>
  <w:style w:type="paragraph" w:customStyle="1" w:styleId="western">
    <w:name w:val="western"/>
    <w:basedOn w:val="Standard"/>
    <w:pPr>
      <w:suppressAutoHyphens w:val="0"/>
      <w:spacing w:before="280"/>
    </w:pPr>
  </w:style>
  <w:style w:type="paragraph" w:customStyle="1" w:styleId="WW-Padro">
    <w:name w:val="WW-Padrão"/>
    <w:pPr>
      <w:widowControl/>
      <w:spacing w:line="360" w:lineRule="auto"/>
      <w:jc w:val="both"/>
    </w:pPr>
    <w:rPr>
      <w:rFonts w:eastAsia="Times New Roman" w:cs="Times New Roman"/>
      <w:sz w:val="22"/>
      <w:szCs w:val="22"/>
      <w:lang w:bidi="ar-SA"/>
    </w:rPr>
  </w:style>
  <w:style w:type="paragraph" w:customStyle="1" w:styleId="Default">
    <w:name w:val="Default"/>
    <w:basedOn w:val="Standard"/>
    <w:pPr>
      <w:autoSpaceDE w:val="0"/>
      <w:spacing w:line="240" w:lineRule="auto"/>
    </w:pPr>
    <w:rPr>
      <w:rFonts w:ascii="Arial, Arial" w:eastAsia="Arial, Arial" w:hAnsi="Arial, Arial" w:cs="Arial, Arial"/>
      <w:b w:val="0"/>
      <w:color w:val="000000"/>
      <w:kern w:val="0"/>
      <w:sz w:val="24"/>
      <w:szCs w:val="24"/>
      <w:lang w:bidi="hi-IN"/>
    </w:rPr>
  </w:style>
  <w:style w:type="paragraph" w:customStyle="1" w:styleId="Standarduser">
    <w:name w:val="Standard (user)"/>
    <w:pPr>
      <w:widowControl/>
    </w:pPr>
    <w:rPr>
      <w:rFonts w:eastAsia="Times New Roman" w:cs="Times New Roman"/>
      <w:lang w:bidi="ar-SA"/>
    </w:rPr>
  </w:style>
  <w:style w:type="paragraph" w:customStyle="1" w:styleId="Footnoteuser">
    <w:name w:val="Footnote (user)"/>
    <w:basedOn w:val="Standarduser"/>
    <w:rPr>
      <w:sz w:val="20"/>
      <w:szCs w:val="20"/>
    </w:rPr>
  </w:style>
  <w:style w:type="character" w:customStyle="1" w:styleId="WW8Num1z0">
    <w:name w:val="WW8Num1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</w:style>
  <w:style w:type="character" w:customStyle="1" w:styleId="TextodebaloChar">
    <w:name w:val="Texto de balão Char"/>
    <w:basedOn w:val="Fontepargpadro"/>
  </w:style>
  <w:style w:type="character" w:customStyle="1" w:styleId="Fontepargpadro1">
    <w:name w:val="Fonte parág. padrão1"/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TextodenotaderodapChar">
    <w:name w:val="Texto de nota de rodapé Char"/>
    <w:rPr>
      <w:lang w:eastAsia="zh-CN"/>
    </w:rPr>
  </w:style>
  <w:style w:type="character" w:customStyle="1" w:styleId="TextodebaloChar1">
    <w:name w:val="Texto de balão Char1"/>
    <w:rPr>
      <w:rFonts w:ascii="Tahoma" w:hAnsi="Tahoma" w:cs="Tahoma"/>
      <w:b/>
      <w:kern w:val="3"/>
      <w:sz w:val="16"/>
      <w:szCs w:val="16"/>
      <w:lang w:eastAsia="zh-C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odapChar">
    <w:name w:val="Rodapé Char"/>
    <w:rPr>
      <w:b/>
      <w:kern w:val="3"/>
      <w:lang w:eastAsia="zh-CN"/>
    </w:rPr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eresdenotadefim">
    <w:name w:val="WW-Caracteres de nota de fim"/>
  </w:style>
  <w:style w:type="character" w:customStyle="1" w:styleId="Endnoteanchor">
    <w:name w:val="Endnote anchor"/>
    <w:rPr>
      <w:position w:val="0"/>
      <w:vertAlign w:val="superscript"/>
    </w:rPr>
  </w:style>
  <w:style w:type="character" w:styleId="nfase">
    <w:name w:val="Emphasis"/>
    <w:rPr>
      <w:i/>
      <w:i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0" ma:contentTypeDescription="Crie um novo documento." ma:contentTypeScope="" ma:versionID="2ce43b698a297870fb6c6eea1f358ba3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82ab207ede09f47e54c2d215db30a497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TADONOSIMP xmlns="e8b43b67-cc43-42df-a04f-3356f259a961">false</JUNTADONOSIMP>
    <Ok xmlns="e8b43b67-cc43-42df-a04f-3356f259a961" xsi:nil="true"/>
    <Situa_x00e7__x00e3_o xmlns="e8b43b67-cc43-42df-a04f-3356f259a961" xsi:nil="true"/>
    <STATUS xmlns="e8b43b67-cc43-42df-a04f-3356f259a961" xsi:nil="true"/>
  </documentManagement>
</p:properties>
</file>

<file path=customXml/itemProps1.xml><?xml version="1.0" encoding="utf-8"?>
<ds:datastoreItem xmlns:ds="http://schemas.openxmlformats.org/officeDocument/2006/customXml" ds:itemID="{D1AB3EEC-E34D-4964-8308-0926A1CFD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BD3F08-C97F-444F-BE0A-AA425AF42D4B}"/>
</file>

<file path=customXml/itemProps3.xml><?xml version="1.0" encoding="utf-8"?>
<ds:datastoreItem xmlns:ds="http://schemas.openxmlformats.org/officeDocument/2006/customXml" ds:itemID="{46ACAB77-52E4-4315-8368-53E89236D1D1}"/>
</file>

<file path=customXml/itemProps4.xml><?xml version="1.0" encoding="utf-8"?>
<ds:datastoreItem xmlns:ds="http://schemas.openxmlformats.org/officeDocument/2006/customXml" ds:itemID="{C88805A8-B944-4F19-B023-B3F2501A2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9</Pages>
  <Words>2180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MPPI</dc:creator>
  <cp:lastModifiedBy>João Ricardo Oliveira Cardoso</cp:lastModifiedBy>
  <cp:revision>273</cp:revision>
  <cp:lastPrinted>2017-02-03T08:52:00Z</cp:lastPrinted>
  <dcterms:created xsi:type="dcterms:W3CDTF">2021-07-28T15:53:00Z</dcterms:created>
  <dcterms:modified xsi:type="dcterms:W3CDTF">2021-07-30T11:26:00Z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0x01010014AB3F3A556C4F49800754C74BAE2CCB</vt:lpwstr>
  </property>
</Properties>
</file>