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7EA59" w14:textId="77777777" w:rsidR="0068753E" w:rsidRDefault="002D3311">
      <w:pPr>
        <w:spacing w:line="360" w:lineRule="auto"/>
        <w:jc w:val="both"/>
        <w:rPr>
          <w:b/>
          <w:bCs/>
          <w:lang w:bidi="uz-Cyrl-UZ"/>
        </w:rPr>
      </w:pPr>
      <w:r>
        <w:rPr>
          <w:b/>
          <w:bCs/>
          <w:lang w:bidi="uz-Cyrl-UZ"/>
        </w:rPr>
        <w:t>EXCELENTISSIMO SENHOR DOUTOR JUIZ DE DIREITO DA 3° VARA CIVEL DA COMARCA DE TERESINA</w:t>
      </w:r>
    </w:p>
    <w:p w14:paraId="6FA616F8" w14:textId="77777777" w:rsidR="0068753E" w:rsidRDefault="0068753E">
      <w:pPr>
        <w:spacing w:line="360" w:lineRule="auto"/>
        <w:jc w:val="both"/>
        <w:rPr>
          <w:b/>
          <w:bCs/>
          <w:lang w:bidi="uz-Cyrl-UZ"/>
        </w:rPr>
      </w:pPr>
    </w:p>
    <w:p w14:paraId="51CC229A" w14:textId="77777777" w:rsidR="0068753E" w:rsidRDefault="0068753E">
      <w:pPr>
        <w:spacing w:line="360" w:lineRule="auto"/>
        <w:jc w:val="both"/>
        <w:rPr>
          <w:b/>
          <w:bCs/>
          <w:lang w:bidi="uz-Cyrl-UZ"/>
        </w:rPr>
      </w:pPr>
    </w:p>
    <w:p w14:paraId="18AFBCBB" w14:textId="77777777" w:rsidR="0068753E" w:rsidRDefault="0068753E">
      <w:pPr>
        <w:spacing w:line="360" w:lineRule="auto"/>
        <w:jc w:val="both"/>
        <w:rPr>
          <w:b/>
          <w:bCs/>
          <w:lang w:bidi="uz-Cyrl-UZ"/>
        </w:rPr>
      </w:pPr>
    </w:p>
    <w:p w14:paraId="1FC8F187" w14:textId="77777777" w:rsidR="0059737A" w:rsidRDefault="0059737A">
      <w:pPr>
        <w:spacing w:line="360" w:lineRule="auto"/>
        <w:jc w:val="both"/>
        <w:rPr>
          <w:b/>
          <w:bCs/>
          <w:lang w:bidi="uz-Cyrl-UZ"/>
        </w:rPr>
      </w:pPr>
    </w:p>
    <w:p w14:paraId="7AE6894D" w14:textId="77777777" w:rsidR="0059737A" w:rsidRDefault="0059737A">
      <w:pPr>
        <w:spacing w:line="360" w:lineRule="auto"/>
        <w:jc w:val="both"/>
        <w:rPr>
          <w:b/>
          <w:bCs/>
          <w:lang w:bidi="uz-Cyrl-UZ"/>
        </w:rPr>
      </w:pPr>
    </w:p>
    <w:p w14:paraId="28E7FF91" w14:textId="77777777" w:rsidR="0068753E" w:rsidRDefault="0068753E" w:rsidP="0059737A">
      <w:pPr>
        <w:jc w:val="both"/>
        <w:rPr>
          <w:b/>
          <w:bCs/>
          <w:lang w:bidi="uz-Cyrl-UZ"/>
        </w:rPr>
      </w:pPr>
    </w:p>
    <w:p w14:paraId="674428E7" w14:textId="77777777" w:rsidR="0068753E" w:rsidRDefault="002D3311" w:rsidP="0059737A">
      <w:pPr>
        <w:spacing w:line="360" w:lineRule="auto"/>
        <w:jc w:val="both"/>
        <w:rPr>
          <w:b/>
          <w:bCs/>
          <w:lang w:bidi="uz-Cyrl-UZ"/>
        </w:rPr>
      </w:pPr>
      <w:r>
        <w:rPr>
          <w:b/>
          <w:bCs/>
          <w:lang w:bidi="uz-Cyrl-UZ"/>
        </w:rPr>
        <w:t>PROCESSO Nº 0017812-41.2006.8.18.0140 (Transitado em Julgado)</w:t>
      </w:r>
    </w:p>
    <w:p w14:paraId="3CE20DD8" w14:textId="77777777" w:rsidR="0068753E" w:rsidRDefault="002D3311" w:rsidP="0059737A">
      <w:pPr>
        <w:spacing w:line="360" w:lineRule="auto"/>
        <w:jc w:val="both"/>
        <w:rPr>
          <w:b/>
          <w:bCs/>
          <w:lang w:bidi="uz-Cyrl-UZ"/>
        </w:rPr>
      </w:pPr>
      <w:r>
        <w:rPr>
          <w:b/>
          <w:bCs/>
          <w:lang w:bidi="uz-Cyrl-UZ"/>
        </w:rPr>
        <w:t xml:space="preserve">EXEQUENTE: PROGRAMA DE PROTEÇÃO E DEFESA DO CONSUMIDOR (PROCON/MPPI) </w:t>
      </w:r>
    </w:p>
    <w:p w14:paraId="4739EED6" w14:textId="77777777" w:rsidR="0068753E" w:rsidRDefault="002D3311" w:rsidP="0059737A">
      <w:pPr>
        <w:spacing w:line="360" w:lineRule="auto"/>
        <w:jc w:val="both"/>
      </w:pPr>
      <w:r>
        <w:rPr>
          <w:b/>
          <w:bCs/>
          <w:lang w:bidi="uz-Cyrl-UZ"/>
        </w:rPr>
        <w:t xml:space="preserve">EXECUTADOS: </w:t>
      </w:r>
      <w:r>
        <w:rPr>
          <w:b/>
          <w:bCs/>
          <w:lang w:eastAsia="uz-Cyrl-UZ" w:bidi="uz-Cyrl-UZ"/>
        </w:rPr>
        <w:t>(1) EQUATORIAL PREVIDÊNCIA COMPLEMENTAR; (2) FEDERAL DE SEGUROS S.A.; E (3) UNIÃO BRASILEIRA DE ASSISTÊNCIA DOS SERVIDORES PÚBLICOS - UNIBRAS</w:t>
      </w:r>
    </w:p>
    <w:p w14:paraId="148C59A4" w14:textId="77777777" w:rsidR="0068753E" w:rsidRDefault="0068753E">
      <w:pPr>
        <w:spacing w:line="360" w:lineRule="auto"/>
        <w:jc w:val="both"/>
        <w:rPr>
          <w:b/>
          <w:bCs/>
          <w:lang w:bidi="uz-Cyrl-UZ"/>
        </w:rPr>
      </w:pPr>
    </w:p>
    <w:p w14:paraId="6757B082" w14:textId="77777777" w:rsidR="0068753E" w:rsidRDefault="0068753E">
      <w:pPr>
        <w:spacing w:line="360" w:lineRule="auto"/>
        <w:jc w:val="both"/>
      </w:pPr>
    </w:p>
    <w:p w14:paraId="2830D22B" w14:textId="77777777" w:rsidR="0059737A" w:rsidRDefault="0059737A">
      <w:pPr>
        <w:spacing w:line="360" w:lineRule="auto"/>
        <w:jc w:val="both"/>
      </w:pPr>
    </w:p>
    <w:p w14:paraId="73FB8E30" w14:textId="77777777" w:rsidR="0059737A" w:rsidRDefault="0059737A">
      <w:pPr>
        <w:spacing w:line="360" w:lineRule="auto"/>
        <w:jc w:val="both"/>
      </w:pPr>
    </w:p>
    <w:p w14:paraId="148ACE16" w14:textId="77777777" w:rsidR="0059737A" w:rsidRDefault="0059737A">
      <w:pPr>
        <w:spacing w:line="360" w:lineRule="auto"/>
        <w:jc w:val="both"/>
      </w:pPr>
    </w:p>
    <w:p w14:paraId="2C10E534" w14:textId="77777777" w:rsidR="0059737A" w:rsidRDefault="0059737A">
      <w:pPr>
        <w:spacing w:line="360" w:lineRule="auto"/>
        <w:jc w:val="both"/>
      </w:pPr>
    </w:p>
    <w:p w14:paraId="755D5604" w14:textId="77777777" w:rsidR="0068753E" w:rsidRDefault="0068753E">
      <w:pPr>
        <w:spacing w:line="360" w:lineRule="auto"/>
        <w:jc w:val="both"/>
      </w:pPr>
    </w:p>
    <w:p w14:paraId="18B9BF3B" w14:textId="77777777" w:rsidR="0068753E" w:rsidRDefault="0068753E">
      <w:pPr>
        <w:spacing w:line="360" w:lineRule="auto"/>
        <w:jc w:val="both"/>
      </w:pPr>
    </w:p>
    <w:p w14:paraId="28EA03F1" w14:textId="761CC44F" w:rsidR="0068753E" w:rsidRDefault="002D3311" w:rsidP="007369D4">
      <w:pPr>
        <w:spacing w:line="360" w:lineRule="auto"/>
        <w:ind w:firstLine="709"/>
        <w:jc w:val="both"/>
      </w:pPr>
      <w:r>
        <w:rPr>
          <w:lang w:bidi="uz-Cyrl-UZ"/>
        </w:rPr>
        <w:t xml:space="preserve">O </w:t>
      </w:r>
      <w:r>
        <w:rPr>
          <w:b/>
          <w:bCs/>
          <w:lang w:bidi="uz-Cyrl-UZ"/>
        </w:rPr>
        <w:t xml:space="preserve">PROGRAMA DE PROTEÇÃO E DEFESA DO CONSUMIDOR – PROCON/MMPI, </w:t>
      </w:r>
      <w:r>
        <w:rPr>
          <w:lang w:bidi="uz-Cyrl-UZ"/>
        </w:rPr>
        <w:t>órgão auxiliar do Ministério</w:t>
      </w:r>
      <w:r>
        <w:rPr>
          <w:rFonts w:eastAsia="Bookman old;MS PMincho"/>
          <w:lang w:bidi="uz-Cyrl-UZ"/>
        </w:rPr>
        <w:t xml:space="preserve"> </w:t>
      </w:r>
      <w:r>
        <w:rPr>
          <w:lang w:bidi="uz-Cyrl-UZ"/>
        </w:rPr>
        <w:t>Público</w:t>
      </w:r>
      <w:r>
        <w:rPr>
          <w:rFonts w:eastAsia="Bookman old;MS PMincho"/>
          <w:lang w:bidi="uz-Cyrl-UZ"/>
        </w:rPr>
        <w:t xml:space="preserve"> </w:t>
      </w:r>
      <w:r>
        <w:rPr>
          <w:lang w:bidi="uz-Cyrl-UZ"/>
        </w:rPr>
        <w:t>do</w:t>
      </w:r>
      <w:r>
        <w:rPr>
          <w:rFonts w:eastAsia="Bookman old;MS PMincho"/>
          <w:lang w:bidi="uz-Cyrl-UZ"/>
        </w:rPr>
        <w:t xml:space="preserve"> </w:t>
      </w:r>
      <w:r>
        <w:rPr>
          <w:lang w:bidi="uz-Cyrl-UZ"/>
        </w:rPr>
        <w:t>Piauí,</w:t>
      </w:r>
      <w:r>
        <w:rPr>
          <w:rFonts w:eastAsia="Bookman old;MS PMincho"/>
          <w:lang w:bidi="uz-Cyrl-UZ"/>
        </w:rPr>
        <w:t xml:space="preserve"> </w:t>
      </w:r>
      <w:r>
        <w:rPr>
          <w:lang w:bidi="uz-Cyrl-UZ"/>
        </w:rPr>
        <w:t>por</w:t>
      </w:r>
      <w:r>
        <w:rPr>
          <w:rFonts w:eastAsia="Bookman old;MS PMincho"/>
          <w:lang w:bidi="uz-Cyrl-UZ"/>
        </w:rPr>
        <w:t xml:space="preserve"> </w:t>
      </w:r>
      <w:r>
        <w:rPr>
          <w:lang w:bidi="uz-Cyrl-UZ"/>
        </w:rPr>
        <w:t>meio</w:t>
      </w:r>
      <w:r>
        <w:rPr>
          <w:rFonts w:eastAsia="Bookman old;MS PMincho"/>
          <w:lang w:bidi="uz-Cyrl-UZ"/>
        </w:rPr>
        <w:t xml:space="preserve"> </w:t>
      </w:r>
      <w:r>
        <w:rPr>
          <w:lang w:bidi="uz-Cyrl-UZ"/>
        </w:rPr>
        <w:t>de</w:t>
      </w:r>
      <w:r>
        <w:rPr>
          <w:rFonts w:eastAsia="Bookman old;MS PMincho"/>
          <w:lang w:bidi="uz-Cyrl-UZ"/>
        </w:rPr>
        <w:t xml:space="preserve"> </w:t>
      </w:r>
      <w:r>
        <w:rPr>
          <w:lang w:bidi="uz-Cyrl-UZ"/>
        </w:rPr>
        <w:t>seu</w:t>
      </w:r>
      <w:r>
        <w:rPr>
          <w:rFonts w:eastAsia="Bookman old;MS PMincho"/>
          <w:lang w:bidi="uz-Cyrl-UZ"/>
        </w:rPr>
        <w:t xml:space="preserve"> </w:t>
      </w:r>
      <w:r>
        <w:rPr>
          <w:lang w:bidi="uz-Cyrl-UZ"/>
        </w:rPr>
        <w:t>representante</w:t>
      </w:r>
      <w:r>
        <w:rPr>
          <w:rFonts w:eastAsia="Bookman old;MS PMincho"/>
          <w:lang w:bidi="uz-Cyrl-UZ"/>
        </w:rPr>
        <w:t xml:space="preserve"> </w:t>
      </w:r>
      <w:r>
        <w:rPr>
          <w:lang w:bidi="uz-Cyrl-UZ"/>
        </w:rPr>
        <w:t>legal</w:t>
      </w:r>
      <w:r>
        <w:rPr>
          <w:rFonts w:eastAsia="Bookman old;MS PMincho"/>
          <w:lang w:bidi="uz-Cyrl-UZ"/>
        </w:rPr>
        <w:t xml:space="preserve"> infra assinado, Promotor de Justiça, Dr. Nivaldo Ribeiro</w:t>
      </w:r>
      <w:r>
        <w:rPr>
          <w:lang w:bidi="uz-Cyrl-UZ"/>
        </w:rPr>
        <w:t>,</w:t>
      </w:r>
      <w:r>
        <w:rPr>
          <w:rFonts w:eastAsia="Bookman old;MS PMincho"/>
          <w:lang w:bidi="uz-Cyrl-UZ"/>
        </w:rPr>
        <w:t xml:space="preserve"> </w:t>
      </w:r>
      <w:r>
        <w:rPr>
          <w:lang w:bidi="uz-Cyrl-UZ"/>
        </w:rPr>
        <w:t>no</w:t>
      </w:r>
      <w:r>
        <w:rPr>
          <w:rFonts w:eastAsia="Bookman old;MS PMincho"/>
          <w:lang w:bidi="uz-Cyrl-UZ"/>
        </w:rPr>
        <w:t xml:space="preserve"> </w:t>
      </w:r>
      <w:r>
        <w:rPr>
          <w:lang w:bidi="uz-Cyrl-UZ"/>
        </w:rPr>
        <w:t>uso</w:t>
      </w:r>
      <w:r>
        <w:rPr>
          <w:rFonts w:eastAsia="Bookman old;MS PMincho"/>
          <w:lang w:bidi="uz-Cyrl-UZ"/>
        </w:rPr>
        <w:t xml:space="preserve"> </w:t>
      </w:r>
      <w:r>
        <w:rPr>
          <w:lang w:bidi="uz-Cyrl-UZ"/>
        </w:rPr>
        <w:t>das</w:t>
      </w:r>
      <w:r>
        <w:rPr>
          <w:rFonts w:eastAsia="Bookman old;MS PMincho"/>
          <w:lang w:bidi="uz-Cyrl-UZ"/>
        </w:rPr>
        <w:t xml:space="preserve"> </w:t>
      </w:r>
      <w:r>
        <w:rPr>
          <w:lang w:bidi="uz-Cyrl-UZ"/>
        </w:rPr>
        <w:t>suas</w:t>
      </w:r>
      <w:r>
        <w:rPr>
          <w:rFonts w:eastAsia="Bookman old;MS PMincho"/>
          <w:lang w:bidi="uz-Cyrl-UZ"/>
        </w:rPr>
        <w:t xml:space="preserve"> </w:t>
      </w:r>
      <w:r>
        <w:rPr>
          <w:lang w:bidi="uz-Cyrl-UZ"/>
        </w:rPr>
        <w:t>atribuições</w:t>
      </w:r>
      <w:r>
        <w:rPr>
          <w:rFonts w:eastAsia="Bookman old;MS PMincho"/>
          <w:lang w:bidi="uz-Cyrl-UZ"/>
        </w:rPr>
        <w:t xml:space="preserve"> </w:t>
      </w:r>
      <w:r>
        <w:rPr>
          <w:lang w:bidi="uz-Cyrl-UZ"/>
        </w:rPr>
        <w:t>constitucionais e legais,</w:t>
      </w:r>
      <w:r>
        <w:rPr>
          <w:rFonts w:eastAsia="Bookman old;MS PMincho"/>
          <w:lang w:bidi="uz-Cyrl-UZ"/>
        </w:rPr>
        <w:t xml:space="preserve"> </w:t>
      </w:r>
      <w:r>
        <w:rPr>
          <w:lang w:bidi="uz-Cyrl-UZ"/>
        </w:rPr>
        <w:t>vem, perante Vossa Excelência,</w:t>
      </w:r>
      <w:r>
        <w:rPr>
          <w:rFonts w:eastAsia="Bookman old;MS PMincho"/>
          <w:lang w:bidi="uz-Cyrl-UZ"/>
        </w:rPr>
        <w:t xml:space="preserve"> requerer o</w:t>
      </w:r>
    </w:p>
    <w:p w14:paraId="34A5EF4C" w14:textId="77777777" w:rsidR="0068753E" w:rsidRDefault="0068753E">
      <w:pPr>
        <w:spacing w:line="360" w:lineRule="auto"/>
        <w:jc w:val="both"/>
        <w:rPr>
          <w:rFonts w:eastAsia="Bookman old;MS PMincho"/>
          <w:lang w:bidi="uz-Cyrl-UZ"/>
        </w:rPr>
      </w:pPr>
    </w:p>
    <w:p w14:paraId="5CD9F9AB" w14:textId="5040312B" w:rsidR="0068753E" w:rsidRPr="00D040E7" w:rsidRDefault="002D3311">
      <w:pPr>
        <w:spacing w:line="360" w:lineRule="auto"/>
        <w:jc w:val="center"/>
        <w:rPr>
          <w:rFonts w:eastAsia="Bookman old;MS PMincho"/>
          <w:b/>
          <w:bCs/>
          <w:u w:val="single"/>
          <w:lang w:bidi="uz-Cyrl-UZ"/>
        </w:rPr>
      </w:pPr>
      <w:r w:rsidRPr="00D040E7">
        <w:rPr>
          <w:rFonts w:eastAsia="Bookman old;MS PMincho"/>
          <w:b/>
          <w:bCs/>
          <w:u w:val="single"/>
          <w:lang w:bidi="uz-Cyrl-UZ"/>
        </w:rPr>
        <w:t>CUMPRIMENTO DE SENTENÇA</w:t>
      </w:r>
      <w:r w:rsidR="002D4F40">
        <w:rPr>
          <w:rFonts w:eastAsia="Bookman old;MS PMincho"/>
          <w:b/>
          <w:bCs/>
          <w:u w:val="single"/>
          <w:lang w:bidi="uz-Cyrl-UZ"/>
        </w:rPr>
        <w:t xml:space="preserve"> </w:t>
      </w:r>
    </w:p>
    <w:p w14:paraId="314C04C4" w14:textId="77777777" w:rsidR="0068753E" w:rsidRDefault="0068753E">
      <w:pPr>
        <w:spacing w:line="360" w:lineRule="auto"/>
        <w:jc w:val="center"/>
        <w:rPr>
          <w:rFonts w:eastAsia="Bookman old;MS PMincho"/>
          <w:b/>
          <w:bCs/>
          <w:lang w:bidi="uz-Cyrl-UZ"/>
        </w:rPr>
      </w:pPr>
    </w:p>
    <w:p w14:paraId="4C5F9F68" w14:textId="0CE64EF9" w:rsidR="0068753E" w:rsidRDefault="002D3311">
      <w:pPr>
        <w:spacing w:line="360" w:lineRule="auto"/>
        <w:jc w:val="both"/>
      </w:pPr>
      <w:r>
        <w:rPr>
          <w:rFonts w:eastAsia="Bookman old;MS PMincho"/>
          <w:lang w:bidi="uz-Cyrl-UZ"/>
        </w:rPr>
        <w:t xml:space="preserve">em face das empresas: </w:t>
      </w:r>
      <w:r>
        <w:rPr>
          <w:b/>
          <w:bCs/>
          <w:lang w:eastAsia="uz-Cyrl-UZ" w:bidi="uz-Cyrl-UZ"/>
        </w:rPr>
        <w:t xml:space="preserve">(1) EQUATORIAL PREVIDÊNCIA COMPLEMENTAR, </w:t>
      </w:r>
      <w:r>
        <w:rPr>
          <w:lang w:eastAsia="uz-Cyrl-UZ" w:bidi="uz-Cyrl-UZ"/>
        </w:rPr>
        <w:t>pessoa jurídica de direito pr</w:t>
      </w:r>
      <w:r w:rsidR="00662D89">
        <w:rPr>
          <w:lang w:eastAsia="uz-Cyrl-UZ" w:bidi="uz-Cyrl-UZ"/>
        </w:rPr>
        <w:t xml:space="preserve">ivado, inscrita no CNPJ sob n° </w:t>
      </w:r>
      <w:r>
        <w:rPr>
          <w:lang w:eastAsia="uz-Cyrl-UZ" w:bidi="uz-Cyrl-UZ"/>
        </w:rPr>
        <w:t xml:space="preserve">42.150.987001-70, com sede na Avenida Deputado </w:t>
      </w:r>
      <w:proofErr w:type="spellStart"/>
      <w:r>
        <w:rPr>
          <w:lang w:eastAsia="uz-Cyrl-UZ" w:bidi="uz-Cyrl-UZ"/>
        </w:rPr>
        <w:t>Jamel</w:t>
      </w:r>
      <w:proofErr w:type="spellEnd"/>
      <w:r>
        <w:rPr>
          <w:lang w:eastAsia="uz-Cyrl-UZ" w:bidi="uz-Cyrl-UZ"/>
        </w:rPr>
        <w:t xml:space="preserve"> </w:t>
      </w:r>
      <w:proofErr w:type="spellStart"/>
      <w:r>
        <w:rPr>
          <w:lang w:eastAsia="uz-Cyrl-UZ" w:bidi="uz-Cyrl-UZ"/>
        </w:rPr>
        <w:t>Cecilio</w:t>
      </w:r>
      <w:proofErr w:type="spellEnd"/>
      <w:r>
        <w:rPr>
          <w:lang w:eastAsia="uz-Cyrl-UZ" w:bidi="uz-Cyrl-UZ"/>
        </w:rPr>
        <w:t xml:space="preserve">, n° 2690, Edifício </w:t>
      </w:r>
      <w:proofErr w:type="spellStart"/>
      <w:r>
        <w:rPr>
          <w:lang w:eastAsia="uz-Cyrl-UZ" w:bidi="uz-Cyrl-UZ"/>
        </w:rPr>
        <w:t>Metropolitan</w:t>
      </w:r>
      <w:proofErr w:type="spellEnd"/>
      <w:r>
        <w:rPr>
          <w:lang w:eastAsia="uz-Cyrl-UZ" w:bidi="uz-Cyrl-UZ"/>
        </w:rPr>
        <w:t xml:space="preserve"> Business, Bairro Jardim </w:t>
      </w:r>
      <w:r w:rsidR="004F7D9C">
        <w:rPr>
          <w:lang w:eastAsia="uz-Cyrl-UZ" w:bidi="uz-Cyrl-UZ"/>
        </w:rPr>
        <w:t>Goiás</w:t>
      </w:r>
      <w:r>
        <w:rPr>
          <w:lang w:eastAsia="uz-Cyrl-UZ" w:bidi="uz-Cyrl-UZ"/>
        </w:rPr>
        <w:t xml:space="preserve">, </w:t>
      </w:r>
      <w:r w:rsidR="004F7D9C">
        <w:rPr>
          <w:lang w:eastAsia="uz-Cyrl-UZ" w:bidi="uz-Cyrl-UZ"/>
        </w:rPr>
        <w:t>Goiânia</w:t>
      </w:r>
      <w:r>
        <w:rPr>
          <w:lang w:eastAsia="uz-Cyrl-UZ" w:bidi="uz-Cyrl-UZ"/>
        </w:rPr>
        <w:t>/GO, CEP n° 74.810-100</w:t>
      </w:r>
      <w:r>
        <w:rPr>
          <w:b/>
          <w:bCs/>
          <w:lang w:eastAsia="uz-Cyrl-UZ" w:bidi="uz-Cyrl-UZ"/>
        </w:rPr>
        <w:t xml:space="preserve">; (2) FEDERAL DE SEGUROS S.A., </w:t>
      </w:r>
      <w:r>
        <w:rPr>
          <w:lang w:eastAsia="uz-Cyrl-UZ" w:bidi="uz-Cyrl-UZ"/>
        </w:rPr>
        <w:t>em Liquida</w:t>
      </w:r>
      <w:r w:rsidR="004F7D9C">
        <w:rPr>
          <w:lang w:eastAsia="uz-Cyrl-UZ" w:bidi="uz-Cyrl-UZ"/>
        </w:rPr>
        <w:t>ção Extrajudicial</w:t>
      </w:r>
      <w:r>
        <w:rPr>
          <w:lang w:eastAsia="uz-Cyrl-UZ" w:bidi="uz-Cyrl-UZ"/>
        </w:rPr>
        <w:t>, pessoa jurídica de direito privado, inscrita no CNPJ sob n° 33.928.219/0001-04, com sede na Rua do Ouvidor, n° 161, Bairro Centro, Rio de Janeiro/RJ, CEP n° 20.040-030; e</w:t>
      </w:r>
      <w:r>
        <w:rPr>
          <w:b/>
          <w:bCs/>
          <w:lang w:eastAsia="uz-Cyrl-UZ" w:bidi="uz-Cyrl-UZ"/>
        </w:rPr>
        <w:t xml:space="preserve"> (3) UNIÃO BRASILEIRA DE ASSISTÊNCIA DOS SERVIDORES PÚBLICOS – UNIBRAS, </w:t>
      </w:r>
      <w:r>
        <w:rPr>
          <w:lang w:eastAsia="uz-Cyrl-UZ" w:bidi="uz-Cyrl-UZ"/>
        </w:rPr>
        <w:t>pessoa jurídica de direito privad</w:t>
      </w:r>
      <w:r w:rsidR="00174547">
        <w:rPr>
          <w:lang w:eastAsia="uz-Cyrl-UZ" w:bidi="uz-Cyrl-UZ"/>
        </w:rPr>
        <w:t>o, inscrita no CNPJ sob n° 83.36</w:t>
      </w:r>
      <w:r>
        <w:rPr>
          <w:lang w:eastAsia="uz-Cyrl-UZ" w:bidi="uz-Cyrl-UZ"/>
        </w:rPr>
        <w:t>6.914/0001-06, com sede na Rua Senador Manoel Barata, n° 718, Edifício Infante, 12° Andar, Bairro Campina, Belém/PA, CEP n° 66.019-000; o que faz pelos seguintes fatos e fundamentos jurídicos.</w:t>
      </w:r>
    </w:p>
    <w:p w14:paraId="0B732835" w14:textId="77777777" w:rsidR="0068753E" w:rsidRDefault="0068753E">
      <w:pPr>
        <w:spacing w:line="360" w:lineRule="auto"/>
        <w:jc w:val="both"/>
      </w:pPr>
    </w:p>
    <w:tbl>
      <w:tblPr>
        <w:tblW w:w="85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40"/>
      </w:tblGrid>
      <w:tr w:rsidR="0068753E" w14:paraId="5F0C2FE9" w14:textId="77777777">
        <w:trPr>
          <w:trHeight w:val="241"/>
        </w:trPr>
        <w:tc>
          <w:tcPr>
            <w:tcW w:w="8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A4169" w14:textId="6A7D454F" w:rsidR="0068753E" w:rsidRDefault="002D3311" w:rsidP="00C87311">
            <w:pPr>
              <w:pStyle w:val="Header"/>
              <w:widowControl w:val="0"/>
              <w:spacing w:before="0" w:after="0" w:line="360" w:lineRule="auto"/>
              <w:ind w:left="102" w:right="49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– </w:t>
            </w:r>
            <w:r w:rsidR="00C873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 RELATÓRIO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196E485" w14:textId="77777777" w:rsidR="0068753E" w:rsidRDefault="0068753E">
      <w:pPr>
        <w:pStyle w:val="western"/>
        <w:spacing w:before="0" w:line="360" w:lineRule="auto"/>
        <w:jc w:val="both"/>
        <w:rPr>
          <w:rFonts w:eastAsia="Bookman old;MS PMincho"/>
          <w:b/>
          <w:lang w:bidi="uz-Cyrl-UZ"/>
        </w:rPr>
      </w:pPr>
    </w:p>
    <w:p w14:paraId="596E39DB" w14:textId="77777777" w:rsidR="007369D4" w:rsidRDefault="002D3311" w:rsidP="007369D4">
      <w:pPr>
        <w:spacing w:line="360" w:lineRule="auto"/>
        <w:ind w:firstLine="709"/>
        <w:jc w:val="both"/>
      </w:pPr>
      <w:r>
        <w:rPr>
          <w:lang w:bidi="uz-Cyrl-UZ"/>
        </w:rPr>
        <w:t>Trata-se</w:t>
      </w:r>
      <w:r>
        <w:rPr>
          <w:rFonts w:eastAsia="Bookman old;MS PMincho"/>
          <w:lang w:bidi="uz-Cyrl-UZ"/>
        </w:rPr>
        <w:t xml:space="preserve"> </w:t>
      </w:r>
      <w:r>
        <w:rPr>
          <w:lang w:bidi="uz-Cyrl-UZ"/>
        </w:rPr>
        <w:t>de</w:t>
      </w:r>
      <w:r>
        <w:rPr>
          <w:rFonts w:eastAsia="Bookman old;MS PMincho"/>
          <w:lang w:bidi="uz-Cyrl-UZ"/>
        </w:rPr>
        <w:t xml:space="preserve"> A</w:t>
      </w:r>
      <w:r>
        <w:rPr>
          <w:lang w:bidi="uz-Cyrl-UZ"/>
        </w:rPr>
        <w:t>ção</w:t>
      </w:r>
      <w:r>
        <w:rPr>
          <w:rFonts w:eastAsia="Bookman old;MS PMincho"/>
          <w:lang w:bidi="uz-Cyrl-UZ"/>
        </w:rPr>
        <w:t xml:space="preserve"> C</w:t>
      </w:r>
      <w:r>
        <w:rPr>
          <w:lang w:bidi="uz-Cyrl-UZ"/>
        </w:rPr>
        <w:t>ivil</w:t>
      </w:r>
      <w:r>
        <w:rPr>
          <w:rFonts w:eastAsia="Bookman old;MS PMincho"/>
          <w:lang w:bidi="uz-Cyrl-UZ"/>
        </w:rPr>
        <w:t xml:space="preserve"> P</w:t>
      </w:r>
      <w:r>
        <w:rPr>
          <w:lang w:bidi="uz-Cyrl-UZ"/>
        </w:rPr>
        <w:t xml:space="preserve">ública ajuizada pelo PROCON/MPPI em desfavor dos fornecedores </w:t>
      </w:r>
      <w:r>
        <w:rPr>
          <w:lang w:eastAsia="uz-Cyrl-UZ" w:bidi="uz-Cyrl-UZ"/>
        </w:rPr>
        <w:t>EQUATORIAL PREVIDÊNCIA COMPLEMENTAR; FEDERAL DE SEGUROS S.A.; UNIÃO BRASILEIRA DE ASSISTÊNCIA DOS SERVIDORES PÚBLICOS – UNIBRAS; e ASSOCIAÇÃO ASSISTENCIAL AO FUNCIONALISMO PÚBLICO - FAP</w:t>
      </w:r>
      <w:r>
        <w:rPr>
          <w:lang w:bidi="uz-Cyrl-UZ"/>
        </w:rPr>
        <w:t>, afim de inibir a prática de venda casada de seguro imposta ao consumidor para a aquisição de empréstimo.</w:t>
      </w:r>
    </w:p>
    <w:p w14:paraId="240B9600" w14:textId="77777777" w:rsidR="007369D4" w:rsidRDefault="002D3311" w:rsidP="007369D4">
      <w:pPr>
        <w:spacing w:line="360" w:lineRule="auto"/>
        <w:ind w:firstLine="709"/>
        <w:jc w:val="both"/>
      </w:pPr>
      <w:r>
        <w:rPr>
          <w:rFonts w:eastAsia="Bookman old;MS PMincho"/>
          <w:lang w:bidi="uz-Cyrl-UZ"/>
        </w:rPr>
        <w:t xml:space="preserve">Na petição </w:t>
      </w:r>
      <w:r w:rsidRPr="00FE3C9E">
        <w:rPr>
          <w:rFonts w:eastAsia="Bookman old;MS PMincho"/>
          <w:lang w:bidi="uz-Cyrl-UZ"/>
        </w:rPr>
        <w:t>inicial (DOC.01), o Autor requereu</w:t>
      </w:r>
      <w:r>
        <w:rPr>
          <w:rFonts w:eastAsia="Bookman old;MS PMincho"/>
          <w:lang w:bidi="uz-Cyrl-UZ"/>
        </w:rPr>
        <w:t xml:space="preserve">, liminarmente, em síntese, que os réus: </w:t>
      </w:r>
      <w:r>
        <w:rPr>
          <w:rFonts w:eastAsia="Bookman old;MS PMincho"/>
          <w:b/>
          <w:bCs/>
          <w:i/>
          <w:iCs/>
          <w:lang w:bidi="uz-Cyrl-UZ"/>
        </w:rPr>
        <w:t xml:space="preserve">i) </w:t>
      </w:r>
      <w:r>
        <w:rPr>
          <w:rFonts w:eastAsia="Bookman old;MS PMincho"/>
          <w:lang w:bidi="uz-Cyrl-UZ"/>
        </w:rPr>
        <w:t xml:space="preserve">se abstivessem de exigir seguro de vida ou previdência privada condicionados à contratação de empréstimo aos servidores públicos do Estado do Piauí; </w:t>
      </w:r>
      <w:proofErr w:type="spellStart"/>
      <w:r>
        <w:rPr>
          <w:rFonts w:eastAsia="Bookman old;MS PMincho"/>
          <w:b/>
          <w:bCs/>
          <w:i/>
          <w:iCs/>
          <w:lang w:bidi="uz-Cyrl-UZ"/>
        </w:rPr>
        <w:t>ii</w:t>
      </w:r>
      <w:proofErr w:type="spellEnd"/>
      <w:r>
        <w:rPr>
          <w:rFonts w:eastAsia="Bookman old;MS PMincho"/>
          <w:b/>
          <w:bCs/>
          <w:i/>
          <w:iCs/>
          <w:lang w:bidi="uz-Cyrl-UZ"/>
        </w:rPr>
        <w:t xml:space="preserve">) </w:t>
      </w:r>
      <w:r>
        <w:rPr>
          <w:rFonts w:eastAsia="Bookman old;MS PMincho"/>
          <w:lang w:bidi="uz-Cyrl-UZ"/>
        </w:rPr>
        <w:t xml:space="preserve">apresentassem em juízo a lista nominal de todos os servidores públicos contratantes no Estado; e </w:t>
      </w:r>
      <w:proofErr w:type="spellStart"/>
      <w:r>
        <w:rPr>
          <w:rFonts w:eastAsia="Bookman old;MS PMincho"/>
          <w:b/>
          <w:bCs/>
          <w:i/>
          <w:iCs/>
          <w:lang w:bidi="uz-Cyrl-UZ"/>
        </w:rPr>
        <w:t>iii</w:t>
      </w:r>
      <w:proofErr w:type="spellEnd"/>
      <w:r>
        <w:rPr>
          <w:rFonts w:eastAsia="Bookman old;MS PMincho"/>
          <w:b/>
          <w:bCs/>
          <w:i/>
          <w:iCs/>
          <w:lang w:bidi="uz-Cyrl-UZ"/>
        </w:rPr>
        <w:t xml:space="preserve">) </w:t>
      </w:r>
      <w:r>
        <w:rPr>
          <w:rFonts w:eastAsia="Bookman old;MS PMincho"/>
          <w:lang w:bidi="uz-Cyrl-UZ"/>
        </w:rPr>
        <w:t>apresentassem as relações de seus escritórios, na Capital e nos Municípios do Piauí.</w:t>
      </w:r>
    </w:p>
    <w:p w14:paraId="07CC8E61" w14:textId="77777777" w:rsidR="007369D4" w:rsidRDefault="002D3311" w:rsidP="007369D4">
      <w:pPr>
        <w:spacing w:line="360" w:lineRule="auto"/>
        <w:ind w:firstLine="709"/>
        <w:jc w:val="both"/>
      </w:pPr>
      <w:r>
        <w:rPr>
          <w:rFonts w:eastAsia="Bookman old;MS PMincho"/>
          <w:lang w:bidi="uz-Cyrl-UZ"/>
        </w:rPr>
        <w:lastRenderedPageBreak/>
        <w:t>No mérito, requereu-se a tornada definitiva da liminar; a restituição dos valores pagos pelos consumidores, a título de seguro e/ou previdência; a reversão das multas requeridas em favor do Fundo Estadual de Proteção e Defesa do Consumidor; a publicação de edital no órgão oficial, nos termos do artigo 94 da Lei n° 8.078/90; dentre outros pedidos.</w:t>
      </w:r>
    </w:p>
    <w:p w14:paraId="1B516FF6" w14:textId="77777777" w:rsidR="007369D4" w:rsidRDefault="002D3311" w:rsidP="007369D4">
      <w:pPr>
        <w:spacing w:line="360" w:lineRule="auto"/>
        <w:ind w:firstLine="709"/>
        <w:jc w:val="both"/>
      </w:pPr>
      <w:r>
        <w:rPr>
          <w:rFonts w:eastAsia="Bookman old;MS PMincho"/>
          <w:lang w:bidi="uz-Cyrl-UZ"/>
        </w:rPr>
        <w:t>Os Réus foram citados e contestaram a ação.</w:t>
      </w:r>
    </w:p>
    <w:p w14:paraId="407FE1E1" w14:textId="77777777" w:rsidR="007369D4" w:rsidRPr="00730A7D" w:rsidRDefault="002D3311" w:rsidP="007369D4">
      <w:pPr>
        <w:spacing w:line="360" w:lineRule="auto"/>
        <w:ind w:firstLine="709"/>
        <w:jc w:val="both"/>
      </w:pPr>
      <w:r>
        <w:rPr>
          <w:rFonts w:eastAsia="Bookman old;MS PMincho"/>
          <w:lang w:bidi="uz-Cyrl-UZ"/>
        </w:rPr>
        <w:t xml:space="preserve">Foi firmado e, posteriormente, </w:t>
      </w:r>
      <w:r w:rsidRPr="00730A7D">
        <w:rPr>
          <w:rFonts w:eastAsia="Bookman old;MS PMincho"/>
          <w:lang w:bidi="uz-Cyrl-UZ"/>
        </w:rPr>
        <w:t>homologado por Sentença (DOC. 02), Termo de Ajustamento de Conduta com a empresa Requerida FAP, sendo para esta o processo extinto com resolução do mérito.</w:t>
      </w:r>
    </w:p>
    <w:p w14:paraId="3E296E3B" w14:textId="06ED19DF" w:rsidR="0068753E" w:rsidRDefault="002D3311" w:rsidP="007369D4">
      <w:pPr>
        <w:spacing w:line="360" w:lineRule="auto"/>
        <w:ind w:firstLine="709"/>
        <w:jc w:val="both"/>
      </w:pPr>
      <w:r w:rsidRPr="00730A7D">
        <w:rPr>
          <w:rFonts w:eastAsia="Bookman old;MS PMincho"/>
          <w:lang w:bidi="uz-Cyrl-UZ"/>
        </w:rPr>
        <w:t xml:space="preserve">Quanto aos demais Réus, a Ação foi julgada Parcialmente Procedente, condenando os requeridos a: </w:t>
      </w:r>
      <w:r w:rsidRPr="00730A7D">
        <w:rPr>
          <w:rFonts w:eastAsia="Bookman old;MS PMincho"/>
          <w:bCs/>
          <w:i/>
          <w:iCs/>
          <w:lang w:bidi="uz-Cyrl-UZ"/>
        </w:rPr>
        <w:t>i)</w:t>
      </w:r>
      <w:r w:rsidRPr="00730A7D">
        <w:rPr>
          <w:rFonts w:eastAsia="Bookman old;MS PMincho"/>
          <w:lang w:bidi="uz-Cyrl-UZ"/>
        </w:rPr>
        <w:t xml:space="preserve"> não oferecerem aos servidores públicos do Estado do Piauí empréstimos consignados condicionados à contratação</w:t>
      </w:r>
      <w:r>
        <w:rPr>
          <w:rFonts w:eastAsia="Bookman old;MS PMincho"/>
          <w:lang w:bidi="uz-Cyrl-UZ"/>
        </w:rPr>
        <w:t xml:space="preserve"> de seguro de vida e/ou previdência privada, </w:t>
      </w:r>
      <w:r>
        <w:rPr>
          <w:rFonts w:eastAsia="Bookman old;MS PMincho"/>
          <w:b/>
          <w:bCs/>
          <w:lang w:bidi="uz-Cyrl-UZ"/>
        </w:rPr>
        <w:t>sob pena de multa diária no valor de R$500,00 (quinhentos reais), até o limite de R$50.000,00 (cinquenta mil reais)</w:t>
      </w:r>
      <w:r>
        <w:rPr>
          <w:rFonts w:eastAsia="Bookman old;MS PMincho"/>
          <w:lang w:bidi="uz-Cyrl-UZ"/>
        </w:rPr>
        <w:t xml:space="preserve">; </w:t>
      </w:r>
      <w:proofErr w:type="spellStart"/>
      <w:r>
        <w:rPr>
          <w:rFonts w:eastAsia="Bookman old;MS PMincho"/>
          <w:b/>
          <w:bCs/>
          <w:i/>
          <w:iCs/>
          <w:lang w:bidi="uz-Cyrl-UZ"/>
        </w:rPr>
        <w:t>ii</w:t>
      </w:r>
      <w:proofErr w:type="spellEnd"/>
      <w:r>
        <w:rPr>
          <w:rFonts w:eastAsia="Bookman old;MS PMincho"/>
          <w:b/>
          <w:bCs/>
          <w:i/>
          <w:iCs/>
          <w:lang w:bidi="uz-Cyrl-UZ"/>
        </w:rPr>
        <w:t xml:space="preserve">) </w:t>
      </w:r>
      <w:r>
        <w:rPr>
          <w:rFonts w:eastAsia="Bookman old;MS PMincho"/>
          <w:lang w:bidi="uz-Cyrl-UZ"/>
        </w:rPr>
        <w:t xml:space="preserve">no prazo de 10 (dez) dias, informarem em juízo os seus escritórios no Estado, </w:t>
      </w:r>
      <w:r>
        <w:rPr>
          <w:rFonts w:eastAsia="Bookman old;MS PMincho"/>
          <w:b/>
          <w:bCs/>
          <w:lang w:bidi="uz-Cyrl-UZ"/>
        </w:rPr>
        <w:t>sob pena de multa diária no valor de R$200,00 (duzentos reais), até o limite de R$10.000,00 (dez mil reais)</w:t>
      </w:r>
      <w:r>
        <w:rPr>
          <w:rFonts w:eastAsia="Bookman old;MS PMincho"/>
          <w:lang w:bidi="uz-Cyrl-UZ"/>
        </w:rPr>
        <w:t xml:space="preserve">; e </w:t>
      </w:r>
      <w:proofErr w:type="spellStart"/>
      <w:r>
        <w:rPr>
          <w:rFonts w:eastAsia="Bookman old;MS PMincho"/>
          <w:b/>
          <w:bCs/>
          <w:i/>
          <w:iCs/>
          <w:lang w:bidi="uz-Cyrl-UZ"/>
        </w:rPr>
        <w:t>iii</w:t>
      </w:r>
      <w:proofErr w:type="spellEnd"/>
      <w:r>
        <w:rPr>
          <w:rFonts w:eastAsia="Bookman old;MS PMincho"/>
          <w:b/>
          <w:bCs/>
          <w:i/>
          <w:iCs/>
          <w:lang w:bidi="uz-Cyrl-UZ"/>
        </w:rPr>
        <w:t xml:space="preserve">) </w:t>
      </w:r>
      <w:r>
        <w:rPr>
          <w:rFonts w:eastAsia="Bookman old;MS PMincho"/>
          <w:lang w:bidi="uz-Cyrl-UZ"/>
        </w:rPr>
        <w:t xml:space="preserve">restituírem os valores descontados </w:t>
      </w:r>
      <w:r w:rsidRPr="00FE3C9E">
        <w:rPr>
          <w:rFonts w:eastAsia="Bookman old;MS PMincho"/>
          <w:lang w:bidi="uz-Cyrl-UZ"/>
        </w:rPr>
        <w:t xml:space="preserve">indevidamente aos consumidores, com juros e correção monetária. Transcreve-se o trecho do Dispositivo da Sentença (DOC. </w:t>
      </w:r>
      <w:r w:rsidR="007369D4" w:rsidRPr="00FE3C9E">
        <w:rPr>
          <w:rFonts w:eastAsia="Bookman old;MS PMincho"/>
          <w:lang w:bidi="uz-Cyrl-UZ"/>
        </w:rPr>
        <w:t>03</w:t>
      </w:r>
      <w:r w:rsidRPr="00FE3C9E">
        <w:rPr>
          <w:rFonts w:eastAsia="Bookman old;MS PMincho"/>
          <w:lang w:bidi="uz-Cyrl-UZ"/>
        </w:rPr>
        <w:t>):</w:t>
      </w:r>
    </w:p>
    <w:p w14:paraId="792E5730" w14:textId="77777777" w:rsidR="0059737A" w:rsidRDefault="0059737A">
      <w:pPr>
        <w:spacing w:after="113"/>
        <w:ind w:left="2835"/>
        <w:jc w:val="both"/>
        <w:rPr>
          <w:rFonts w:eastAsia="Bookman old;MS PMincho"/>
          <w:sz w:val="22"/>
          <w:szCs w:val="22"/>
          <w:lang w:bidi="uz-Cyrl-UZ"/>
        </w:rPr>
      </w:pPr>
    </w:p>
    <w:p w14:paraId="5676A746" w14:textId="77777777" w:rsidR="0068753E" w:rsidRDefault="002D3311">
      <w:pPr>
        <w:spacing w:after="113"/>
        <w:ind w:left="2835"/>
        <w:jc w:val="both"/>
        <w:rPr>
          <w:rFonts w:eastAsia="Bookman old;MS PMincho"/>
          <w:sz w:val="22"/>
          <w:szCs w:val="22"/>
          <w:lang w:bidi="uz-Cyrl-UZ"/>
        </w:rPr>
      </w:pPr>
      <w:r>
        <w:rPr>
          <w:rFonts w:eastAsia="Bookman old;MS PMincho"/>
          <w:sz w:val="22"/>
          <w:szCs w:val="22"/>
          <w:lang w:bidi="uz-Cyrl-UZ"/>
        </w:rPr>
        <w:t>III – DISPOSITIVO</w:t>
      </w:r>
    </w:p>
    <w:p w14:paraId="20FBFA1B" w14:textId="77777777" w:rsidR="0068753E" w:rsidRDefault="002D3311">
      <w:pPr>
        <w:spacing w:after="113"/>
        <w:ind w:left="2835"/>
        <w:jc w:val="both"/>
        <w:rPr>
          <w:rFonts w:eastAsia="Bookman old;MS PMincho"/>
          <w:sz w:val="22"/>
          <w:szCs w:val="22"/>
          <w:lang w:bidi="uz-Cyrl-UZ"/>
        </w:rPr>
      </w:pPr>
      <w:r>
        <w:rPr>
          <w:rFonts w:eastAsia="Bookman old;MS PMincho"/>
          <w:sz w:val="22"/>
          <w:szCs w:val="22"/>
          <w:lang w:bidi="uz-Cyrl-UZ"/>
        </w:rPr>
        <w:t>(...)</w:t>
      </w:r>
    </w:p>
    <w:p w14:paraId="7DB690D5" w14:textId="77777777" w:rsidR="0068753E" w:rsidRDefault="002D3311">
      <w:pPr>
        <w:spacing w:after="113"/>
        <w:ind w:left="2835"/>
        <w:jc w:val="both"/>
        <w:rPr>
          <w:rFonts w:eastAsia="Bookman old;MS PMincho"/>
          <w:sz w:val="22"/>
          <w:szCs w:val="22"/>
          <w:lang w:bidi="uz-Cyrl-UZ"/>
        </w:rPr>
      </w:pPr>
      <w:r>
        <w:rPr>
          <w:rFonts w:eastAsia="Bookman old;MS PMincho"/>
          <w:sz w:val="22"/>
          <w:szCs w:val="22"/>
          <w:lang w:bidi="uz-Cyrl-UZ"/>
        </w:rPr>
        <w:t>Quanto aos demais Réus, JULGO PARCIALMENTE PROCEDENTE O PEDIDO INICIAL (art. 269, I do CPC) formulado pela parte autora para deferir apenas o seguinte:</w:t>
      </w:r>
    </w:p>
    <w:p w14:paraId="5FDF2FF7" w14:textId="77777777" w:rsidR="0068753E" w:rsidRDefault="002D3311">
      <w:pPr>
        <w:spacing w:after="113"/>
        <w:ind w:left="2835"/>
        <w:jc w:val="both"/>
        <w:rPr>
          <w:rFonts w:eastAsia="Bookman old;MS PMincho"/>
          <w:sz w:val="22"/>
          <w:szCs w:val="22"/>
          <w:lang w:bidi="uz-Cyrl-UZ"/>
        </w:rPr>
      </w:pPr>
      <w:r>
        <w:rPr>
          <w:rFonts w:eastAsia="Bookman old;MS PMincho"/>
          <w:sz w:val="22"/>
          <w:szCs w:val="22"/>
          <w:lang w:bidi="uz-Cyrl-UZ"/>
        </w:rPr>
        <w:t>a) Determinar que os réus se abstenham de oferecer aos servidores públicos do Estado do Piauí empréstimos com desconto em folha de pagamento condicionados a contratação de seguro de vida e/ou previdência privada ou qualquer outro produto, sob pena de multa diária no valor de R$ 500,00 até o limite de R$ 50.000,00;</w:t>
      </w:r>
    </w:p>
    <w:p w14:paraId="104008D9" w14:textId="77777777" w:rsidR="0068753E" w:rsidRDefault="002D3311">
      <w:pPr>
        <w:spacing w:after="113"/>
        <w:ind w:left="2835"/>
        <w:jc w:val="both"/>
        <w:rPr>
          <w:rFonts w:eastAsia="Bookman old;MS PMincho"/>
          <w:sz w:val="22"/>
          <w:szCs w:val="22"/>
          <w:lang w:bidi="uz-Cyrl-UZ"/>
        </w:rPr>
      </w:pPr>
      <w:r>
        <w:rPr>
          <w:rFonts w:eastAsia="Bookman old;MS PMincho"/>
          <w:sz w:val="22"/>
          <w:szCs w:val="22"/>
          <w:lang w:bidi="uz-Cyrl-UZ"/>
        </w:rPr>
        <w:lastRenderedPageBreak/>
        <w:t>b) Determinar que os requeridos, no prazo de 10 (dez) dias, informem em juízo os seus escritórios no Estado do Piauí mencionando os gerentes, endereços e representantes comerciais, sob pena de multa diária no valor de R$ 200,00 até o limite de R$ 10.000,00.</w:t>
      </w:r>
    </w:p>
    <w:p w14:paraId="03A038D0" w14:textId="77777777" w:rsidR="0068753E" w:rsidRDefault="002D3311">
      <w:pPr>
        <w:numPr>
          <w:ilvl w:val="0"/>
          <w:numId w:val="2"/>
        </w:numPr>
        <w:spacing w:after="113"/>
        <w:ind w:left="2835" w:firstLine="0"/>
        <w:jc w:val="both"/>
        <w:rPr>
          <w:sz w:val="22"/>
          <w:szCs w:val="22"/>
        </w:rPr>
      </w:pPr>
      <w:r>
        <w:rPr>
          <w:rFonts w:eastAsia="Bookman old;MS PMincho"/>
          <w:sz w:val="22"/>
          <w:szCs w:val="22"/>
          <w:lang w:bidi="uz-Cyrl-UZ"/>
        </w:rPr>
        <w:t>Condenar as requeridas a restituírem os valores descontados indevidamente relativos a seguros e/ou previdência privada de todos os servidores públicos do Estado do Piauí que contratam com as demandadas empréstimos com consignação em folha de pagamento, devidamente corrigido com juros e correção monetária, segundo índices oficiais, sem prejuízo de perdas e danos a serem demonstrados na fase de liquidação da sentença.</w:t>
      </w:r>
    </w:p>
    <w:p w14:paraId="34B03E15" w14:textId="77777777" w:rsidR="0068753E" w:rsidRDefault="0068753E">
      <w:pPr>
        <w:spacing w:after="113"/>
        <w:ind w:left="3555"/>
        <w:jc w:val="both"/>
        <w:rPr>
          <w:rFonts w:eastAsia="Bookman old;MS PMincho"/>
          <w:sz w:val="22"/>
          <w:szCs w:val="22"/>
          <w:lang w:bidi="uz-Cyrl-UZ"/>
        </w:rPr>
      </w:pPr>
    </w:p>
    <w:p w14:paraId="6A12E9E8" w14:textId="77777777" w:rsidR="007369D4" w:rsidRPr="00FE3C9E" w:rsidRDefault="002D3311" w:rsidP="007369D4">
      <w:pPr>
        <w:spacing w:line="360" w:lineRule="auto"/>
        <w:ind w:firstLine="709"/>
        <w:jc w:val="both"/>
      </w:pPr>
      <w:r>
        <w:rPr>
          <w:rFonts w:eastAsia="Bookman old;MS PMincho"/>
          <w:lang w:bidi="uz-Cyrl-UZ"/>
        </w:rPr>
        <w:t xml:space="preserve"> Publicada no Diário de </w:t>
      </w:r>
      <w:r w:rsidRPr="00FE3C9E">
        <w:rPr>
          <w:rFonts w:eastAsia="Bookman old;MS PMincho"/>
          <w:lang w:bidi="uz-Cyrl-UZ"/>
        </w:rPr>
        <w:t>Justiça n° 7.168 (DOC. 03), a empresa Ré Equatorial interpôs Recurso de Apelação (DOC. 04), no qual sustentou que não oferece empréstimo e informou os escritórios da empresa no Estado do Piauí. Quanto a obrigação de restituir aos consumidores, requereu a reforma da decisão.</w:t>
      </w:r>
    </w:p>
    <w:p w14:paraId="3C08E322" w14:textId="77777777" w:rsidR="007369D4" w:rsidRPr="00FE3C9E" w:rsidRDefault="002D3311" w:rsidP="007369D4">
      <w:pPr>
        <w:spacing w:line="360" w:lineRule="auto"/>
        <w:ind w:firstLine="709"/>
        <w:jc w:val="both"/>
      </w:pPr>
      <w:r w:rsidRPr="00FE3C9E">
        <w:rPr>
          <w:rFonts w:eastAsia="Bookman old;MS PMincho"/>
          <w:lang w:bidi="uz-Cyrl-UZ"/>
        </w:rPr>
        <w:t>Não consta nos autos o recebimento de recurso pelos demais Réus.</w:t>
      </w:r>
    </w:p>
    <w:p w14:paraId="3E8999A2" w14:textId="77777777" w:rsidR="007369D4" w:rsidRPr="00FE3C9E" w:rsidRDefault="002D3311" w:rsidP="007369D4">
      <w:pPr>
        <w:spacing w:line="360" w:lineRule="auto"/>
        <w:ind w:firstLine="709"/>
        <w:jc w:val="both"/>
      </w:pPr>
      <w:r w:rsidRPr="00FE3C9E">
        <w:rPr>
          <w:rFonts w:eastAsia="Bookman old;MS PMincho"/>
          <w:lang w:bidi="uz-Cyrl-UZ"/>
        </w:rPr>
        <w:t xml:space="preserve">Em Decisão Monocrática (DOC. 05), o Desembargador Relator </w:t>
      </w:r>
      <w:proofErr w:type="spellStart"/>
      <w:r w:rsidRPr="00FE3C9E">
        <w:rPr>
          <w:rFonts w:eastAsia="Bookman old;MS PMincho"/>
          <w:lang w:bidi="uz-Cyrl-UZ"/>
        </w:rPr>
        <w:t>Oton</w:t>
      </w:r>
      <w:proofErr w:type="spellEnd"/>
      <w:r w:rsidRPr="00FE3C9E">
        <w:rPr>
          <w:rFonts w:eastAsia="Bookman old;MS PMincho"/>
          <w:lang w:bidi="uz-Cyrl-UZ"/>
        </w:rPr>
        <w:t xml:space="preserve"> Mário José Lustosa Torres, negou seguimento ao recurso, por ausência de preparo.</w:t>
      </w:r>
    </w:p>
    <w:p w14:paraId="208B3880" w14:textId="77777777" w:rsidR="007369D4" w:rsidRPr="00FE3C9E" w:rsidRDefault="002D3311" w:rsidP="007369D4">
      <w:pPr>
        <w:spacing w:line="360" w:lineRule="auto"/>
        <w:ind w:firstLine="709"/>
        <w:jc w:val="both"/>
      </w:pPr>
      <w:r w:rsidRPr="00FE3C9E">
        <w:rPr>
          <w:rFonts w:eastAsia="Bookman old;MS PMincho"/>
          <w:lang w:bidi="uz-Cyrl-UZ"/>
        </w:rPr>
        <w:t>Inconformado o Apelante interpôs Agravo de Instrumento (DOC. 06), que, em Despacho (DOC. 07), também teve o seguimento negado, em razão do não cab</w:t>
      </w:r>
      <w:r>
        <w:rPr>
          <w:rFonts w:eastAsia="Bookman old;MS PMincho"/>
          <w:lang w:bidi="uz-Cyrl-UZ"/>
        </w:rPr>
        <w:t xml:space="preserve">imento do referido recurso para atacar decisão </w:t>
      </w:r>
      <w:r w:rsidRPr="00FE3C9E">
        <w:rPr>
          <w:rFonts w:eastAsia="Bookman old;MS PMincho"/>
          <w:lang w:bidi="uz-Cyrl-UZ"/>
        </w:rPr>
        <w:t>monocrática recursal.</w:t>
      </w:r>
    </w:p>
    <w:p w14:paraId="026C9F00" w14:textId="77777777" w:rsidR="007369D4" w:rsidRDefault="002D3311" w:rsidP="007369D4">
      <w:pPr>
        <w:spacing w:line="360" w:lineRule="auto"/>
        <w:ind w:firstLine="709"/>
        <w:jc w:val="both"/>
      </w:pPr>
      <w:r w:rsidRPr="00FE3C9E">
        <w:rPr>
          <w:rFonts w:eastAsia="Bookman old;MS PMincho"/>
          <w:lang w:bidi="uz-Cyrl-UZ"/>
        </w:rPr>
        <w:t>Transitou em julgado a Ação, conforme Certidão anexa (DOC. 08).</w:t>
      </w:r>
    </w:p>
    <w:p w14:paraId="3F9116BE" w14:textId="1C1C6C23" w:rsidR="0068753E" w:rsidRPr="007369D4" w:rsidRDefault="002D3311" w:rsidP="007369D4">
      <w:pPr>
        <w:spacing w:line="360" w:lineRule="auto"/>
        <w:ind w:firstLine="709"/>
        <w:jc w:val="both"/>
      </w:pPr>
      <w:r>
        <w:rPr>
          <w:rFonts w:eastAsia="Bookman old;MS PMincho"/>
          <w:lang w:bidi="uz-Cyrl-UZ"/>
        </w:rPr>
        <w:t>Os autos vieram conclusos ao Autor, para os devidos fins.</w:t>
      </w:r>
    </w:p>
    <w:p w14:paraId="3C224600" w14:textId="77777777" w:rsidR="0068753E" w:rsidRDefault="0068753E">
      <w:pPr>
        <w:spacing w:line="360" w:lineRule="auto"/>
        <w:jc w:val="both"/>
      </w:pPr>
    </w:p>
    <w:tbl>
      <w:tblPr>
        <w:tblW w:w="85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40"/>
      </w:tblGrid>
      <w:tr w:rsidR="0068753E" w14:paraId="127A3940" w14:textId="77777777">
        <w:trPr>
          <w:trHeight w:val="241"/>
        </w:trPr>
        <w:tc>
          <w:tcPr>
            <w:tcW w:w="8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E432B6" w14:textId="7593C9AF" w:rsidR="0068753E" w:rsidRDefault="002D3311">
            <w:pPr>
              <w:pStyle w:val="Header"/>
              <w:widowControl w:val="0"/>
              <w:spacing w:before="0" w:after="0" w:line="360" w:lineRule="auto"/>
              <w:ind w:left="102" w:right="49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 PROVIMENTO CONJUNTO TJPI N</w:t>
            </w:r>
            <w:r w:rsidRPr="00F66E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° 11/2016</w:t>
            </w:r>
            <w:r w:rsidR="00F66EB6" w:rsidRPr="00F66E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 DO FORO COMPETENTE</w:t>
            </w:r>
          </w:p>
        </w:tc>
      </w:tr>
    </w:tbl>
    <w:p w14:paraId="75F30A83" w14:textId="77777777" w:rsidR="0068753E" w:rsidRDefault="0068753E">
      <w:pPr>
        <w:spacing w:line="360" w:lineRule="auto"/>
        <w:jc w:val="both"/>
        <w:rPr>
          <w:rFonts w:eastAsia="Bookman old;MS PMincho"/>
          <w:b/>
          <w:lang w:bidi="uz-Cyrl-UZ"/>
        </w:rPr>
      </w:pPr>
    </w:p>
    <w:p w14:paraId="07E7419F" w14:textId="40B6A6C1" w:rsidR="0068753E" w:rsidRDefault="002D3311" w:rsidP="007369D4">
      <w:pPr>
        <w:spacing w:line="360" w:lineRule="auto"/>
        <w:ind w:firstLine="709"/>
        <w:jc w:val="both"/>
        <w:rPr>
          <w:rFonts w:eastAsia="Bookman old;MS PMincho"/>
          <w:lang w:bidi="uz-Cyrl-UZ"/>
        </w:rPr>
      </w:pPr>
      <w:r>
        <w:rPr>
          <w:rFonts w:eastAsia="Bookman old;MS PMincho"/>
          <w:lang w:bidi="uz-Cyrl-UZ"/>
        </w:rPr>
        <w:t xml:space="preserve">O Tribunal de Justiça do Estado do Piauí determinou, por meio do Provimento Conjunto n° 11/2016, que ações propostas até a data da implantação do Sistema </w:t>
      </w:r>
      <w:proofErr w:type="spellStart"/>
      <w:r>
        <w:rPr>
          <w:rFonts w:eastAsia="Bookman old;MS PMincho"/>
          <w:lang w:bidi="uz-Cyrl-UZ"/>
        </w:rPr>
        <w:t>PJe</w:t>
      </w:r>
      <w:proofErr w:type="spellEnd"/>
      <w:r>
        <w:rPr>
          <w:rFonts w:eastAsia="Bookman old;MS PMincho"/>
          <w:lang w:bidi="uz-Cyrl-UZ"/>
        </w:rPr>
        <w:t xml:space="preserve"> </w:t>
      </w:r>
      <w:r>
        <w:rPr>
          <w:rFonts w:eastAsia="Bookman old;MS PMincho"/>
          <w:lang w:bidi="uz-Cyrl-UZ"/>
        </w:rPr>
        <w:lastRenderedPageBreak/>
        <w:t xml:space="preserve">continuarão tramitando em meio físico, inclusive os respectivos incidentes processuais, ainda que distribuídos posteriormente, </w:t>
      </w:r>
      <w:r w:rsidRPr="007369D4">
        <w:rPr>
          <w:rFonts w:eastAsia="Bookman old;MS PMincho"/>
          <w:b/>
          <w:lang w:bidi="uz-Cyrl-UZ"/>
        </w:rPr>
        <w:t>exceto quando se tratar de cumprimento ou de execução de sentença.</w:t>
      </w:r>
      <w:r>
        <w:rPr>
          <w:rFonts w:eastAsia="Bookman old;MS PMincho"/>
          <w:lang w:bidi="uz-Cyrl-UZ"/>
        </w:rPr>
        <w:t xml:space="preserve"> Veja-se:</w:t>
      </w:r>
    </w:p>
    <w:p w14:paraId="01D3D556" w14:textId="77777777" w:rsidR="0059737A" w:rsidRDefault="0059737A" w:rsidP="007369D4">
      <w:pPr>
        <w:spacing w:line="360" w:lineRule="auto"/>
        <w:ind w:firstLine="709"/>
        <w:jc w:val="both"/>
        <w:rPr>
          <w:rFonts w:eastAsia="Bookman old;MS PMincho"/>
          <w:b/>
          <w:lang w:bidi="uz-Cyrl-UZ"/>
        </w:rPr>
      </w:pPr>
    </w:p>
    <w:p w14:paraId="4DCD3851" w14:textId="77777777" w:rsidR="0068753E" w:rsidRDefault="002D3311">
      <w:pPr>
        <w:spacing w:after="113"/>
        <w:ind w:left="2835"/>
        <w:jc w:val="both"/>
        <w:rPr>
          <w:rFonts w:eastAsia="Bookman old;MS PMincho"/>
          <w:lang w:bidi="uz-Cyrl-UZ"/>
        </w:rPr>
      </w:pPr>
      <w:r>
        <w:rPr>
          <w:rFonts w:eastAsia="Bookman old;MS PMincho"/>
          <w:sz w:val="22"/>
          <w:szCs w:val="22"/>
          <w:lang w:bidi="uz-Cyrl-UZ"/>
        </w:rPr>
        <w:t xml:space="preserve">Art. 4º A partir da implantação do Sistema </w:t>
      </w:r>
      <w:proofErr w:type="spellStart"/>
      <w:r>
        <w:rPr>
          <w:rFonts w:eastAsia="Bookman old;MS PMincho"/>
          <w:sz w:val="22"/>
          <w:szCs w:val="22"/>
          <w:lang w:bidi="uz-Cyrl-UZ"/>
        </w:rPr>
        <w:t>PJe</w:t>
      </w:r>
      <w:proofErr w:type="spellEnd"/>
      <w:r>
        <w:rPr>
          <w:rFonts w:eastAsia="Bookman old;MS PMincho"/>
          <w:sz w:val="22"/>
          <w:szCs w:val="22"/>
          <w:lang w:bidi="uz-Cyrl-UZ"/>
        </w:rPr>
        <w:t xml:space="preserve"> nas comarcas do Estado do Piauí, o recebimento de petição inicial ou intermediária relativas aos processos que nele tramitam somente poderá ocorrer no meio eletrônico próprio do Sistema ou conforme o disposto no art. 67 deste Provimento Conjunto, exceto nas situações previstas para </w:t>
      </w:r>
      <w:proofErr w:type="spellStart"/>
      <w:r>
        <w:rPr>
          <w:rFonts w:eastAsia="Bookman old;MS PMincho"/>
          <w:sz w:val="22"/>
          <w:szCs w:val="22"/>
          <w:lang w:bidi="uz-Cyrl-UZ"/>
        </w:rPr>
        <w:t>peticionamento</w:t>
      </w:r>
      <w:proofErr w:type="spellEnd"/>
      <w:r>
        <w:rPr>
          <w:rFonts w:eastAsia="Bookman old;MS PMincho"/>
          <w:sz w:val="22"/>
          <w:szCs w:val="22"/>
          <w:lang w:bidi="uz-Cyrl-UZ"/>
        </w:rPr>
        <w:t xml:space="preserve"> fora do sistema. </w:t>
      </w:r>
    </w:p>
    <w:p w14:paraId="54F6672C" w14:textId="77777777" w:rsidR="0068753E" w:rsidRDefault="002D3311">
      <w:pPr>
        <w:spacing w:after="113"/>
        <w:ind w:left="2835"/>
        <w:jc w:val="both"/>
        <w:rPr>
          <w:rFonts w:eastAsia="Bookman old;MS PMincho"/>
          <w:lang w:bidi="uz-Cyrl-UZ"/>
        </w:rPr>
      </w:pPr>
      <w:r>
        <w:rPr>
          <w:rFonts w:eastAsia="Bookman old;MS PMincho"/>
          <w:sz w:val="22"/>
          <w:szCs w:val="22"/>
          <w:lang w:bidi="uz-Cyrl-UZ"/>
        </w:rPr>
        <w:t xml:space="preserve">§ 1º </w:t>
      </w:r>
      <w:r>
        <w:rPr>
          <w:rFonts w:eastAsia="Bookman old;MS PMincho"/>
          <w:b/>
          <w:bCs/>
          <w:sz w:val="22"/>
          <w:szCs w:val="22"/>
          <w:lang w:bidi="uz-Cyrl-UZ"/>
        </w:rPr>
        <w:t xml:space="preserve">As ações propostas até a data da implantação do Sistema </w:t>
      </w:r>
      <w:proofErr w:type="spellStart"/>
      <w:r>
        <w:rPr>
          <w:rFonts w:eastAsia="Bookman old;MS PMincho"/>
          <w:b/>
          <w:bCs/>
          <w:sz w:val="22"/>
          <w:szCs w:val="22"/>
          <w:lang w:bidi="uz-Cyrl-UZ"/>
        </w:rPr>
        <w:t>PJe</w:t>
      </w:r>
      <w:proofErr w:type="spellEnd"/>
      <w:r>
        <w:rPr>
          <w:rFonts w:eastAsia="Bookman old;MS PMincho"/>
          <w:b/>
          <w:bCs/>
          <w:sz w:val="22"/>
          <w:szCs w:val="22"/>
          <w:lang w:bidi="uz-Cyrl-UZ"/>
        </w:rPr>
        <w:t xml:space="preserve"> continuarão tramitando em meio físico, inclusive os respectivos incidentes processuais </w:t>
      </w:r>
      <w:r>
        <w:rPr>
          <w:rFonts w:eastAsia="Bookman old;MS PMincho"/>
          <w:sz w:val="22"/>
          <w:szCs w:val="22"/>
          <w:lang w:bidi="uz-Cyrl-UZ"/>
        </w:rPr>
        <w:t>e as ações conexas,</w:t>
      </w:r>
      <w:r>
        <w:rPr>
          <w:rFonts w:eastAsia="Bookman old;MS PMincho"/>
          <w:b/>
          <w:bCs/>
          <w:sz w:val="22"/>
          <w:szCs w:val="22"/>
          <w:lang w:bidi="uz-Cyrl-UZ"/>
        </w:rPr>
        <w:t xml:space="preserve"> ainda que distribuídos por dependência posteriormente àquela data, exceto quando:</w:t>
      </w:r>
    </w:p>
    <w:p w14:paraId="0BE0E478" w14:textId="77777777" w:rsidR="0068753E" w:rsidRDefault="002D3311">
      <w:pPr>
        <w:spacing w:after="113"/>
        <w:ind w:left="2835"/>
        <w:jc w:val="both"/>
        <w:rPr>
          <w:rFonts w:eastAsia="Bookman old;MS PMincho"/>
          <w:sz w:val="22"/>
          <w:szCs w:val="22"/>
          <w:lang w:bidi="uz-Cyrl-UZ"/>
        </w:rPr>
      </w:pPr>
      <w:r>
        <w:rPr>
          <w:rFonts w:eastAsia="Bookman old;MS PMincho"/>
          <w:sz w:val="22"/>
          <w:szCs w:val="22"/>
          <w:lang w:bidi="uz-Cyrl-UZ"/>
        </w:rPr>
        <w:t xml:space="preserve"> I - o processo principal já estiver baixado. </w:t>
      </w:r>
    </w:p>
    <w:p w14:paraId="4DA98F22" w14:textId="77777777" w:rsidR="0068753E" w:rsidRDefault="002D3311">
      <w:pPr>
        <w:spacing w:after="113"/>
        <w:ind w:left="2835"/>
        <w:jc w:val="both"/>
        <w:rPr>
          <w:rFonts w:eastAsia="Bookman old;MS PMincho"/>
          <w:b/>
          <w:bCs/>
          <w:sz w:val="22"/>
          <w:szCs w:val="22"/>
          <w:lang w:bidi="uz-Cyrl-UZ"/>
        </w:rPr>
      </w:pPr>
      <w:r>
        <w:rPr>
          <w:rFonts w:eastAsia="Bookman old;MS PMincho"/>
          <w:b/>
          <w:bCs/>
          <w:sz w:val="22"/>
          <w:szCs w:val="22"/>
          <w:lang w:bidi="uz-Cyrl-UZ"/>
        </w:rPr>
        <w:t xml:space="preserve">II - se tratar de cumprimento ou de execução de sentença; </w:t>
      </w:r>
    </w:p>
    <w:p w14:paraId="7CE4E663" w14:textId="77777777" w:rsidR="0068753E" w:rsidRDefault="002D3311">
      <w:pPr>
        <w:spacing w:after="113"/>
        <w:ind w:left="2835"/>
        <w:jc w:val="both"/>
        <w:rPr>
          <w:rFonts w:eastAsia="Bookman old;MS PMincho"/>
          <w:sz w:val="22"/>
          <w:szCs w:val="22"/>
          <w:lang w:bidi="uz-Cyrl-UZ"/>
        </w:rPr>
      </w:pPr>
      <w:r>
        <w:rPr>
          <w:rFonts w:eastAsia="Bookman old;MS PMincho"/>
          <w:sz w:val="22"/>
          <w:szCs w:val="22"/>
          <w:lang w:bidi="uz-Cyrl-UZ"/>
        </w:rPr>
        <w:t xml:space="preserve">III - se tratar de embargos à execução fiscal; </w:t>
      </w:r>
    </w:p>
    <w:p w14:paraId="74675867" w14:textId="77777777" w:rsidR="0068753E" w:rsidRDefault="002D3311">
      <w:pPr>
        <w:spacing w:after="113"/>
        <w:ind w:left="2835"/>
        <w:jc w:val="both"/>
        <w:rPr>
          <w:rFonts w:eastAsia="Bookman old;MS PMincho"/>
          <w:sz w:val="22"/>
          <w:szCs w:val="22"/>
          <w:lang w:bidi="uz-Cyrl-UZ"/>
        </w:rPr>
      </w:pPr>
      <w:r>
        <w:rPr>
          <w:rFonts w:eastAsia="Bookman old;MS PMincho"/>
          <w:b/>
          <w:bCs/>
          <w:sz w:val="22"/>
          <w:szCs w:val="22"/>
          <w:lang w:bidi="uz-Cyrl-UZ"/>
        </w:rPr>
        <w:t>§ 2º Nas hipóteses previstas nos incisos do § 1º deste artigo, a secretaria de juízo deverá certificar, nos autos físicos e eletrônicos, os números dos processos e a forma de tramitação.</w:t>
      </w:r>
      <w:r>
        <w:rPr>
          <w:rFonts w:eastAsia="Bookman old;MS PMincho"/>
          <w:sz w:val="22"/>
          <w:szCs w:val="22"/>
          <w:lang w:bidi="uz-Cyrl-UZ"/>
        </w:rPr>
        <w:t xml:space="preserve"> (grifos inseridos)</w:t>
      </w:r>
    </w:p>
    <w:p w14:paraId="39DB91E7" w14:textId="77777777" w:rsidR="00F66EB6" w:rsidRDefault="00F66EB6">
      <w:pPr>
        <w:spacing w:after="113"/>
        <w:ind w:left="2835"/>
        <w:jc w:val="both"/>
        <w:rPr>
          <w:rFonts w:eastAsia="Bookman old;MS PMincho"/>
          <w:lang w:bidi="uz-Cyrl-UZ"/>
        </w:rPr>
      </w:pPr>
    </w:p>
    <w:p w14:paraId="3DC8F50C" w14:textId="72F2F15C" w:rsidR="00F66EB6" w:rsidRDefault="00F66EB6" w:rsidP="00F66EB6">
      <w:pPr>
        <w:suppressAutoHyphens w:val="0"/>
        <w:spacing w:line="360" w:lineRule="auto"/>
        <w:ind w:firstLine="709"/>
        <w:jc w:val="both"/>
        <w:rPr>
          <w:kern w:val="0"/>
          <w:lang w:eastAsia="en-US"/>
        </w:rPr>
      </w:pPr>
      <w:r w:rsidRPr="004B5548">
        <w:rPr>
          <w:kern w:val="0"/>
          <w:lang w:eastAsia="en-US"/>
        </w:rPr>
        <w:t>Para o cumpri</w:t>
      </w:r>
      <w:r>
        <w:rPr>
          <w:kern w:val="0"/>
          <w:lang w:eastAsia="en-US"/>
        </w:rPr>
        <w:t>mento da sentença proferida em Ação Civil P</w:t>
      </w:r>
      <w:r w:rsidRPr="004B5548">
        <w:rPr>
          <w:kern w:val="0"/>
          <w:lang w:eastAsia="en-US"/>
        </w:rPr>
        <w:t xml:space="preserve">ública em prol de direitos difusos ou coletivos, denominado cumprimento coletivo, aplica-se subsidiariamente o CPC. O mesmo se diga se, antes de executá-la, for necessário promover sua liquidação. </w:t>
      </w:r>
    </w:p>
    <w:p w14:paraId="3779268E" w14:textId="6D224337" w:rsidR="00F66EB6" w:rsidRPr="00F66EB6" w:rsidRDefault="00F66EB6" w:rsidP="00F66EB6">
      <w:pPr>
        <w:suppressAutoHyphens w:val="0"/>
        <w:spacing w:line="360" w:lineRule="auto"/>
        <w:ind w:firstLine="709"/>
        <w:jc w:val="both"/>
        <w:rPr>
          <w:kern w:val="0"/>
          <w:lang w:eastAsia="en-US"/>
        </w:rPr>
      </w:pPr>
      <w:r w:rsidRPr="004B5548">
        <w:rPr>
          <w:kern w:val="0"/>
          <w:lang w:eastAsia="en-US"/>
        </w:rPr>
        <w:t>Assim, o juízo competente para a execução é fixado nos moldes do art. 516 do CPC/2015, ou seja, em regra, será o mesmo que processou a causa no primeiro grau de jurisdição (inciso II).</w:t>
      </w:r>
    </w:p>
    <w:p w14:paraId="01E1C09F" w14:textId="77777777" w:rsidR="0068753E" w:rsidRDefault="0068753E">
      <w:pPr>
        <w:spacing w:line="360" w:lineRule="auto"/>
        <w:jc w:val="both"/>
      </w:pPr>
    </w:p>
    <w:tbl>
      <w:tblPr>
        <w:tblW w:w="85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40"/>
      </w:tblGrid>
      <w:tr w:rsidR="0068753E" w14:paraId="4925582B" w14:textId="77777777">
        <w:trPr>
          <w:trHeight w:val="241"/>
        </w:trPr>
        <w:tc>
          <w:tcPr>
            <w:tcW w:w="8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A74C42" w14:textId="77777777" w:rsidR="0068753E" w:rsidRDefault="002D3311">
            <w:pPr>
              <w:pStyle w:val="Header"/>
              <w:widowControl w:val="0"/>
              <w:spacing w:before="0" w:after="0" w:line="360" w:lineRule="auto"/>
              <w:ind w:left="102" w:right="49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 TÍTULO EXECUTIVO JUDICIAL E DO SEU DESCUMPRIMENRO PELOS RÉUS</w:t>
            </w:r>
          </w:p>
        </w:tc>
      </w:tr>
    </w:tbl>
    <w:p w14:paraId="38B45272" w14:textId="77777777" w:rsidR="0068753E" w:rsidRDefault="0068753E">
      <w:pPr>
        <w:pStyle w:val="western"/>
        <w:spacing w:before="0" w:line="360" w:lineRule="auto"/>
        <w:jc w:val="both"/>
        <w:rPr>
          <w:rFonts w:eastAsia="Bookman old;MS PMincho"/>
          <w:b/>
          <w:lang w:bidi="uz-Cyrl-UZ"/>
        </w:rPr>
      </w:pPr>
    </w:p>
    <w:p w14:paraId="78CBBDAC" w14:textId="2B6E4B26" w:rsidR="0068753E" w:rsidRDefault="002D3311" w:rsidP="007369D4">
      <w:pPr>
        <w:spacing w:line="360" w:lineRule="auto"/>
        <w:ind w:firstLine="709"/>
        <w:jc w:val="both"/>
        <w:rPr>
          <w:rFonts w:eastAsia="Bookman old;MS PMincho"/>
          <w:lang w:bidi="uz-Cyrl-UZ"/>
        </w:rPr>
      </w:pPr>
      <w:r>
        <w:rPr>
          <w:lang w:bidi="uz-Cyrl-UZ"/>
        </w:rPr>
        <w:t>Compulsado os presentes autos, tem-se que a</w:t>
      </w:r>
      <w:r w:rsidR="00F66EB6">
        <w:rPr>
          <w:rFonts w:eastAsia="Bookman old;MS PMincho"/>
          <w:lang w:bidi="uz-Cyrl-UZ"/>
        </w:rPr>
        <w:t xml:space="preserve"> A</w:t>
      </w:r>
      <w:r>
        <w:rPr>
          <w:rFonts w:eastAsia="Bookman old;MS PMincho"/>
          <w:lang w:bidi="uz-Cyrl-UZ"/>
        </w:rPr>
        <w:t>ção foi julgada parcialmente procedente, sendo determinado aos Réus as seguintes obrigações de fazer e não fazer, e de pagar:</w:t>
      </w:r>
    </w:p>
    <w:p w14:paraId="36ABF253" w14:textId="77777777" w:rsidR="0059737A" w:rsidRDefault="0059737A" w:rsidP="007369D4">
      <w:pPr>
        <w:spacing w:line="360" w:lineRule="auto"/>
        <w:ind w:firstLine="709"/>
        <w:jc w:val="both"/>
      </w:pPr>
    </w:p>
    <w:p w14:paraId="3B385CA8" w14:textId="77777777" w:rsidR="0068753E" w:rsidRDefault="002D3311">
      <w:pPr>
        <w:spacing w:after="113"/>
        <w:ind w:left="2835"/>
        <w:jc w:val="both"/>
        <w:rPr>
          <w:rFonts w:eastAsia="Bookman old;MS PMincho"/>
          <w:sz w:val="22"/>
          <w:szCs w:val="22"/>
          <w:lang w:bidi="uz-Cyrl-UZ"/>
        </w:rPr>
      </w:pPr>
      <w:r>
        <w:rPr>
          <w:rFonts w:eastAsia="Bookman old;MS PMincho"/>
          <w:sz w:val="22"/>
          <w:szCs w:val="22"/>
          <w:lang w:bidi="uz-Cyrl-UZ"/>
        </w:rPr>
        <w:t>III – DISPOSITIVO</w:t>
      </w:r>
    </w:p>
    <w:p w14:paraId="7C476588" w14:textId="77777777" w:rsidR="0068753E" w:rsidRDefault="002D3311">
      <w:pPr>
        <w:spacing w:after="113"/>
        <w:ind w:left="2835"/>
        <w:jc w:val="both"/>
        <w:rPr>
          <w:rFonts w:eastAsia="Bookman old;MS PMincho"/>
          <w:sz w:val="22"/>
          <w:szCs w:val="22"/>
          <w:lang w:bidi="uz-Cyrl-UZ"/>
        </w:rPr>
      </w:pPr>
      <w:r>
        <w:rPr>
          <w:rFonts w:eastAsia="Bookman old;MS PMincho"/>
          <w:sz w:val="22"/>
          <w:szCs w:val="22"/>
          <w:lang w:bidi="uz-Cyrl-UZ"/>
        </w:rPr>
        <w:t>(...)</w:t>
      </w:r>
    </w:p>
    <w:p w14:paraId="5A0EFDB4" w14:textId="77777777" w:rsidR="0068753E" w:rsidRDefault="002D3311">
      <w:pPr>
        <w:spacing w:after="113"/>
        <w:ind w:left="2835"/>
        <w:jc w:val="both"/>
        <w:rPr>
          <w:rFonts w:eastAsia="Bookman old;MS PMincho"/>
          <w:sz w:val="22"/>
          <w:szCs w:val="22"/>
          <w:lang w:bidi="uz-Cyrl-UZ"/>
        </w:rPr>
      </w:pPr>
      <w:r>
        <w:rPr>
          <w:rFonts w:eastAsia="Bookman old;MS PMincho"/>
          <w:sz w:val="22"/>
          <w:szCs w:val="22"/>
          <w:lang w:bidi="uz-Cyrl-UZ"/>
        </w:rPr>
        <w:t>Quanto aos demais Réus, JULGO PARCIALMENTE PROCEDENTE O PEDIDO INICIAL (art. 269, I do CPC) formulado pela parte autora para deferir apenas o seguinte:</w:t>
      </w:r>
    </w:p>
    <w:p w14:paraId="0C27C06E" w14:textId="77777777" w:rsidR="0068753E" w:rsidRDefault="002D3311">
      <w:pPr>
        <w:spacing w:after="113"/>
        <w:ind w:left="2835"/>
        <w:jc w:val="both"/>
        <w:rPr>
          <w:sz w:val="22"/>
          <w:szCs w:val="22"/>
        </w:rPr>
      </w:pPr>
      <w:r>
        <w:rPr>
          <w:rFonts w:eastAsia="Bookman old;MS PMincho"/>
          <w:sz w:val="22"/>
          <w:szCs w:val="22"/>
          <w:lang w:bidi="uz-Cyrl-UZ"/>
        </w:rPr>
        <w:t xml:space="preserve">a) Determinar que os réus se </w:t>
      </w:r>
      <w:r>
        <w:rPr>
          <w:rFonts w:eastAsia="Bookman old;MS PMincho"/>
          <w:b/>
          <w:bCs/>
          <w:sz w:val="22"/>
          <w:szCs w:val="22"/>
          <w:lang w:bidi="uz-Cyrl-UZ"/>
        </w:rPr>
        <w:t>abstenham de oferecer aos servidores públicos do Estado do Piauí empréstimos com desconto em folha de pagamento condicionados a contratação de seguro de vida e/ou previdência privada</w:t>
      </w:r>
      <w:r>
        <w:rPr>
          <w:rFonts w:eastAsia="Bookman old;MS PMincho"/>
          <w:sz w:val="22"/>
          <w:szCs w:val="22"/>
          <w:lang w:bidi="uz-Cyrl-UZ"/>
        </w:rPr>
        <w:t xml:space="preserve"> ou qualquer outro produto, </w:t>
      </w:r>
      <w:r>
        <w:rPr>
          <w:rFonts w:eastAsia="Bookman old;MS PMincho"/>
          <w:b/>
          <w:bCs/>
          <w:sz w:val="22"/>
          <w:szCs w:val="22"/>
          <w:lang w:bidi="uz-Cyrl-UZ"/>
        </w:rPr>
        <w:t>sob pena de multa diária no valor de R$ 500,00 até o limite de R$ 50.000,00</w:t>
      </w:r>
      <w:r>
        <w:rPr>
          <w:rFonts w:eastAsia="Bookman old;MS PMincho"/>
          <w:sz w:val="22"/>
          <w:szCs w:val="22"/>
          <w:lang w:bidi="uz-Cyrl-UZ"/>
        </w:rPr>
        <w:t>;</w:t>
      </w:r>
    </w:p>
    <w:p w14:paraId="6C0DEDDC" w14:textId="77777777" w:rsidR="0068753E" w:rsidRDefault="002D3311">
      <w:pPr>
        <w:spacing w:after="113"/>
        <w:ind w:left="2835"/>
        <w:jc w:val="both"/>
        <w:rPr>
          <w:sz w:val="22"/>
          <w:szCs w:val="22"/>
        </w:rPr>
      </w:pPr>
      <w:r>
        <w:rPr>
          <w:rFonts w:eastAsia="Bookman old;MS PMincho"/>
          <w:sz w:val="22"/>
          <w:szCs w:val="22"/>
          <w:lang w:bidi="uz-Cyrl-UZ"/>
        </w:rPr>
        <w:t xml:space="preserve">b) Determinar que os requeridos, no prazo de 10 (dez) dias, </w:t>
      </w:r>
      <w:r>
        <w:rPr>
          <w:rFonts w:eastAsia="Bookman old;MS PMincho"/>
          <w:b/>
          <w:bCs/>
          <w:sz w:val="22"/>
          <w:szCs w:val="22"/>
          <w:lang w:bidi="uz-Cyrl-UZ"/>
        </w:rPr>
        <w:t>informem em juízo os seus escritórios no Estado do Piauí</w:t>
      </w:r>
      <w:r>
        <w:rPr>
          <w:rFonts w:eastAsia="Bookman old;MS PMincho"/>
          <w:sz w:val="22"/>
          <w:szCs w:val="22"/>
          <w:lang w:bidi="uz-Cyrl-UZ"/>
        </w:rPr>
        <w:t xml:space="preserve"> mencionando os gerentes, endereços e representantes comerciais, </w:t>
      </w:r>
      <w:r>
        <w:rPr>
          <w:rFonts w:eastAsia="Bookman old;MS PMincho"/>
          <w:b/>
          <w:bCs/>
          <w:sz w:val="22"/>
          <w:szCs w:val="22"/>
          <w:lang w:bidi="uz-Cyrl-UZ"/>
        </w:rPr>
        <w:t>sob pena de multa diária no valor de R$ 200,00 até o limite de R$ 10.000,00</w:t>
      </w:r>
      <w:r>
        <w:rPr>
          <w:rFonts w:eastAsia="Bookman old;MS PMincho"/>
          <w:sz w:val="22"/>
          <w:szCs w:val="22"/>
          <w:lang w:bidi="uz-Cyrl-UZ"/>
        </w:rPr>
        <w:t>.</w:t>
      </w:r>
    </w:p>
    <w:p w14:paraId="6D6B1013" w14:textId="77777777" w:rsidR="0068753E" w:rsidRDefault="002D3311">
      <w:pPr>
        <w:spacing w:after="113"/>
        <w:ind w:left="2835"/>
        <w:jc w:val="both"/>
        <w:rPr>
          <w:sz w:val="22"/>
          <w:szCs w:val="22"/>
        </w:rPr>
      </w:pPr>
      <w:r>
        <w:rPr>
          <w:rFonts w:eastAsia="Bookman old;MS PMincho"/>
          <w:sz w:val="22"/>
          <w:szCs w:val="22"/>
          <w:lang w:bidi="uz-Cyrl-UZ"/>
        </w:rPr>
        <w:t xml:space="preserve">c) Condenar as requeridas a </w:t>
      </w:r>
      <w:r>
        <w:rPr>
          <w:rFonts w:eastAsia="Bookman old;MS PMincho"/>
          <w:b/>
          <w:bCs/>
          <w:sz w:val="22"/>
          <w:szCs w:val="22"/>
          <w:lang w:bidi="uz-Cyrl-UZ"/>
        </w:rPr>
        <w:t>restituírem os valores descontados indevidamente relativos a seguros e/ou previdência privada</w:t>
      </w:r>
      <w:r>
        <w:rPr>
          <w:rFonts w:eastAsia="Bookman old;MS PMincho"/>
          <w:sz w:val="22"/>
          <w:szCs w:val="22"/>
          <w:lang w:bidi="uz-Cyrl-UZ"/>
        </w:rPr>
        <w:t xml:space="preserve"> de todos os servidores públicos do Estado do Piauí que contratam com as demandadas empréstimos com consignação em folha de pagamento, devidamente corrigido com juros e correção monetária, segundo índices oficiais, sem prejuízo de perdas e danos a serem demonstrados na fase de liquidação da sentença. (grifos inseridos)</w:t>
      </w:r>
    </w:p>
    <w:p w14:paraId="3F548C2F" w14:textId="77777777" w:rsidR="0068753E" w:rsidRDefault="0068753E">
      <w:pPr>
        <w:spacing w:after="113"/>
        <w:ind w:left="3555"/>
        <w:jc w:val="both"/>
        <w:rPr>
          <w:rFonts w:eastAsia="Bookman old;MS PMincho"/>
          <w:sz w:val="22"/>
          <w:szCs w:val="22"/>
          <w:lang w:bidi="uz-Cyrl-UZ"/>
        </w:rPr>
      </w:pPr>
    </w:p>
    <w:p w14:paraId="2992B47A" w14:textId="3C51ED3C" w:rsidR="0068753E" w:rsidRDefault="002D3311" w:rsidP="007369D4">
      <w:pPr>
        <w:spacing w:line="360" w:lineRule="auto"/>
        <w:ind w:firstLine="709"/>
        <w:jc w:val="both"/>
      </w:pPr>
      <w:r>
        <w:rPr>
          <w:rFonts w:eastAsia="Bookman old;MS PMincho"/>
          <w:lang w:bidi="uz-Cyrl-UZ"/>
        </w:rPr>
        <w:t xml:space="preserve"> </w:t>
      </w:r>
      <w:r w:rsidRPr="00FE3C9E">
        <w:rPr>
          <w:rFonts w:eastAsia="Bookman old;MS PMincho"/>
          <w:lang w:bidi="uz-Cyrl-UZ"/>
        </w:rPr>
        <w:t>A ação transitou em julgado, no mês de</w:t>
      </w:r>
      <w:r w:rsidRPr="00FE3C9E">
        <w:rPr>
          <w:rFonts w:eastAsia="Bookman old;MS PMincho"/>
          <w:b/>
          <w:lang w:bidi="uz-Cyrl-UZ"/>
        </w:rPr>
        <w:t xml:space="preserve"> novembro de 2015</w:t>
      </w:r>
      <w:r w:rsidRPr="00FE3C9E">
        <w:rPr>
          <w:rFonts w:eastAsia="Bookman old;MS PMincho"/>
          <w:lang w:bidi="uz-Cyrl-UZ"/>
        </w:rPr>
        <w:t xml:space="preserve">, conforme Certidão anexa </w:t>
      </w:r>
      <w:r w:rsidR="00FE3C9E" w:rsidRPr="00FE3C9E">
        <w:rPr>
          <w:rFonts w:eastAsia="Bookman old;MS PMincho"/>
          <w:lang w:bidi="uz-Cyrl-UZ"/>
        </w:rPr>
        <w:t>(DOC. 0</w:t>
      </w:r>
      <w:r w:rsidR="001F42E3" w:rsidRPr="00FE3C9E">
        <w:rPr>
          <w:rFonts w:eastAsia="Bookman old;MS PMincho"/>
          <w:lang w:bidi="uz-Cyrl-UZ"/>
        </w:rPr>
        <w:t>8</w:t>
      </w:r>
      <w:r w:rsidRPr="00FE3C9E">
        <w:rPr>
          <w:rFonts w:eastAsia="Bookman old;MS PMincho"/>
          <w:lang w:bidi="uz-Cyrl-UZ"/>
        </w:rPr>
        <w:t>), razão pela qual</w:t>
      </w:r>
      <w:r>
        <w:rPr>
          <w:rFonts w:eastAsia="Bookman old;MS PMincho"/>
          <w:lang w:bidi="uz-Cyrl-UZ"/>
        </w:rPr>
        <w:t xml:space="preserve"> a </w:t>
      </w:r>
      <w:r w:rsidR="001727AC">
        <w:rPr>
          <w:lang w:bidi="uz-Cyrl-UZ"/>
        </w:rPr>
        <w:t>s</w:t>
      </w:r>
      <w:r w:rsidR="00F66EB6">
        <w:rPr>
          <w:lang w:bidi="uz-Cyrl-UZ"/>
        </w:rPr>
        <w:t>entença constitui-se como Titulo Executivo J</w:t>
      </w:r>
      <w:r>
        <w:rPr>
          <w:lang w:bidi="uz-Cyrl-UZ"/>
        </w:rPr>
        <w:t xml:space="preserve">udicial, conforme previsão no artigo 515, I do Código de Processo Civil, </w:t>
      </w:r>
      <w:r>
        <w:rPr>
          <w:i/>
          <w:iCs/>
          <w:lang w:bidi="uz-Cyrl-UZ"/>
        </w:rPr>
        <w:t>in verbis:</w:t>
      </w:r>
    </w:p>
    <w:p w14:paraId="7C227825" w14:textId="77777777" w:rsidR="0068753E" w:rsidRDefault="002D3311">
      <w:pPr>
        <w:pStyle w:val="BodyText"/>
        <w:spacing w:after="113"/>
        <w:ind w:left="283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Art. 515. São títulos executivos judiciais:</w:t>
      </w:r>
    </w:p>
    <w:p w14:paraId="51681CC0" w14:textId="77777777" w:rsidR="0068753E" w:rsidRDefault="002D3311">
      <w:pPr>
        <w:pStyle w:val="BodyText"/>
        <w:spacing w:after="113"/>
        <w:ind w:left="28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 - as decisões proferidas no processo civil que reconheçam a exigibilidade de obrigação de pagar quantia, de fazer, de não fazer ou de entregar coisa; (...)</w:t>
      </w:r>
    </w:p>
    <w:p w14:paraId="43AD1633" w14:textId="77777777" w:rsidR="006B3F49" w:rsidRDefault="006B3F49" w:rsidP="005862FA">
      <w:pPr>
        <w:spacing w:line="360" w:lineRule="auto"/>
        <w:jc w:val="both"/>
        <w:rPr>
          <w:lang w:bidi="uz-Cyrl-UZ"/>
        </w:rPr>
      </w:pPr>
    </w:p>
    <w:p w14:paraId="5D4FB5A9" w14:textId="7867B19B" w:rsidR="0068753E" w:rsidRDefault="0085015C">
      <w:pPr>
        <w:spacing w:line="360" w:lineRule="auto"/>
        <w:jc w:val="both"/>
        <w:rPr>
          <w:b/>
          <w:bCs/>
          <w:u w:val="single"/>
          <w:lang w:bidi="uz-Cyrl-UZ"/>
        </w:rPr>
      </w:pPr>
      <w:r w:rsidRPr="008A79A3">
        <w:rPr>
          <w:b/>
          <w:bCs/>
          <w:u w:val="single"/>
          <w:lang w:bidi="uz-Cyrl-UZ"/>
        </w:rPr>
        <w:t xml:space="preserve">3.1 - </w:t>
      </w:r>
      <w:r w:rsidR="002D3311" w:rsidRPr="008A79A3">
        <w:rPr>
          <w:b/>
          <w:bCs/>
          <w:u w:val="single"/>
          <w:lang w:bidi="uz-Cyrl-UZ"/>
        </w:rPr>
        <w:t xml:space="preserve">DAS </w:t>
      </w:r>
      <w:r w:rsidR="007369D4" w:rsidRPr="008A79A3">
        <w:rPr>
          <w:b/>
          <w:bCs/>
          <w:u w:val="single"/>
          <w:lang w:bidi="uz-Cyrl-UZ"/>
        </w:rPr>
        <w:t>OBRIGAÇÕES</w:t>
      </w:r>
      <w:r w:rsidR="007369D4">
        <w:rPr>
          <w:b/>
          <w:bCs/>
          <w:u w:val="single"/>
          <w:lang w:bidi="uz-Cyrl-UZ"/>
        </w:rPr>
        <w:t xml:space="preserve"> DE FAZER E NÃO FAZER</w:t>
      </w:r>
    </w:p>
    <w:p w14:paraId="0E20C679" w14:textId="77777777" w:rsidR="007369D4" w:rsidRDefault="007369D4">
      <w:pPr>
        <w:spacing w:line="360" w:lineRule="auto"/>
        <w:jc w:val="both"/>
        <w:rPr>
          <w:b/>
          <w:bCs/>
          <w:u w:val="single"/>
          <w:lang w:bidi="uz-Cyrl-UZ"/>
        </w:rPr>
      </w:pPr>
    </w:p>
    <w:p w14:paraId="45938F14" w14:textId="77777777" w:rsidR="0085015C" w:rsidRDefault="002D3311" w:rsidP="0085015C">
      <w:pPr>
        <w:spacing w:line="360" w:lineRule="auto"/>
        <w:ind w:firstLine="709"/>
        <w:jc w:val="both"/>
      </w:pPr>
      <w:r>
        <w:rPr>
          <w:lang w:bidi="uz-Cyrl-UZ"/>
        </w:rPr>
        <w:t>Os Réus foram condenados a obrigação</w:t>
      </w:r>
      <w:r>
        <w:rPr>
          <w:rFonts w:eastAsia="Bookman old;MS PMincho"/>
          <w:lang w:bidi="uz-Cyrl-UZ"/>
        </w:rPr>
        <w:t xml:space="preserve"> de não oferecer aos servidores públicos do Estado do Piauí empréstimos consignados condicionados à contratação de seguro de vida e/ou previdência privada, </w:t>
      </w:r>
      <w:r>
        <w:rPr>
          <w:rFonts w:eastAsia="Bookman old;MS PMincho"/>
          <w:b/>
          <w:bCs/>
          <w:lang w:bidi="uz-Cyrl-UZ"/>
        </w:rPr>
        <w:t>sob pena de multa diária no valor de R$500,00 (quinhentos reais), até o limite de R$50.000,00 (cinquenta mil reais)</w:t>
      </w:r>
      <w:r>
        <w:rPr>
          <w:rFonts w:eastAsia="Bookman old;MS PMincho"/>
          <w:lang w:bidi="uz-Cyrl-UZ"/>
        </w:rPr>
        <w:t>; bem como a obrigação informar,</w:t>
      </w:r>
      <w:r>
        <w:rPr>
          <w:rFonts w:eastAsia="Bookman old;MS PMincho"/>
          <w:b/>
          <w:bCs/>
          <w:i/>
          <w:iCs/>
          <w:lang w:bidi="uz-Cyrl-UZ"/>
        </w:rPr>
        <w:t xml:space="preserve"> </w:t>
      </w:r>
      <w:r>
        <w:rPr>
          <w:rFonts w:eastAsia="Bookman old;MS PMincho"/>
          <w:lang w:bidi="uz-Cyrl-UZ"/>
        </w:rPr>
        <w:t xml:space="preserve">no prazo de 10 (dez) dias, em juízo, os seus escritórios no Estado, </w:t>
      </w:r>
      <w:r>
        <w:rPr>
          <w:rFonts w:eastAsia="Bookman old;MS PMincho"/>
          <w:b/>
          <w:bCs/>
          <w:lang w:bidi="uz-Cyrl-UZ"/>
        </w:rPr>
        <w:t>sob pena de multa diária no valor de R$200,00 (duzentos reais), até o limite de R$10.000,00 (dez mil reais)</w:t>
      </w:r>
      <w:r>
        <w:rPr>
          <w:rFonts w:eastAsia="Bookman old;MS PMincho"/>
          <w:lang w:bidi="uz-Cyrl-UZ"/>
        </w:rPr>
        <w:t>.</w:t>
      </w:r>
    </w:p>
    <w:p w14:paraId="5F34F56F" w14:textId="03129A3A" w:rsidR="0085015C" w:rsidRPr="00FE3C9E" w:rsidRDefault="002D3311" w:rsidP="0085015C">
      <w:pPr>
        <w:spacing w:line="360" w:lineRule="auto"/>
        <w:ind w:firstLine="709"/>
        <w:jc w:val="both"/>
        <w:rPr>
          <w:color w:val="FF0000"/>
        </w:rPr>
      </w:pPr>
      <w:r>
        <w:rPr>
          <w:rFonts w:eastAsia="Bookman old;MS PMincho"/>
          <w:lang w:bidi="uz-Cyrl-UZ"/>
        </w:rPr>
        <w:t xml:space="preserve">Todavia, o que se verifica nos autos originais e documentos anexos, é que apenas a </w:t>
      </w:r>
      <w:r w:rsidRPr="00D60AE1">
        <w:rPr>
          <w:rFonts w:eastAsia="Bookman old;MS PMincho"/>
          <w:b/>
          <w:bCs/>
          <w:lang w:bidi="uz-Cyrl-UZ"/>
        </w:rPr>
        <w:t xml:space="preserve">empresa Ré </w:t>
      </w:r>
      <w:r w:rsidR="004F7D9C" w:rsidRPr="00D60AE1">
        <w:rPr>
          <w:rFonts w:eastAsia="Bookman old;MS PMincho"/>
          <w:b/>
          <w:bCs/>
          <w:lang w:bidi="uz-Cyrl-UZ"/>
        </w:rPr>
        <w:t>EQUATORIAL PREVIDÊNCIA COMPLEMENTAR</w:t>
      </w:r>
      <w:r w:rsidR="004F7D9C" w:rsidRPr="00D60AE1">
        <w:rPr>
          <w:rFonts w:eastAsia="Bookman old;MS PMincho"/>
          <w:b/>
          <w:lang w:bidi="uz-Cyrl-UZ"/>
        </w:rPr>
        <w:t xml:space="preserve"> </w:t>
      </w:r>
      <w:r w:rsidRPr="00D60AE1">
        <w:rPr>
          <w:rFonts w:eastAsia="Bookman old;MS PMincho"/>
          <w:b/>
          <w:lang w:bidi="uz-Cyrl-UZ"/>
        </w:rPr>
        <w:t>cumpriu a obrigação de fazer,</w:t>
      </w:r>
      <w:r w:rsidRPr="00D60AE1">
        <w:rPr>
          <w:rFonts w:eastAsia="Bookman old;MS PMincho"/>
          <w:lang w:bidi="uz-Cyrl-UZ"/>
        </w:rPr>
        <w:t xml:space="preserve"> no que diz respeito a informar em juízo os seus escritórios </w:t>
      </w:r>
      <w:r w:rsidR="00D60AE1">
        <w:rPr>
          <w:rFonts w:eastAsia="Bookman old;MS PMincho"/>
          <w:lang w:bidi="uz-Cyrl-UZ"/>
        </w:rPr>
        <w:t>no Estado do Piauí.</w:t>
      </w:r>
    </w:p>
    <w:p w14:paraId="0F50F414" w14:textId="5B359CBA" w:rsidR="0085015C" w:rsidRDefault="002D3311" w:rsidP="0085015C">
      <w:pPr>
        <w:spacing w:line="360" w:lineRule="auto"/>
        <w:ind w:firstLine="709"/>
        <w:jc w:val="both"/>
      </w:pPr>
      <w:r>
        <w:rPr>
          <w:rFonts w:eastAsia="Bookman old;MS PMincho"/>
          <w:lang w:bidi="uz-Cyrl-UZ"/>
        </w:rPr>
        <w:t>No que pese isso,</w:t>
      </w:r>
      <w:r>
        <w:rPr>
          <w:rFonts w:eastAsia="Bookman old;MS PMincho"/>
          <w:b/>
          <w:bCs/>
          <w:lang w:bidi="uz-Cyrl-UZ"/>
        </w:rPr>
        <w:t xml:space="preserve"> o </w:t>
      </w:r>
      <w:r w:rsidRPr="004F5658">
        <w:rPr>
          <w:rFonts w:eastAsia="Bookman old;MS PMincho"/>
          <w:b/>
          <w:bCs/>
          <w:lang w:bidi="uz-Cyrl-UZ"/>
        </w:rPr>
        <w:t xml:space="preserve">fornecedor </w:t>
      </w:r>
      <w:r w:rsidR="004F7D9C" w:rsidRPr="004F5658">
        <w:rPr>
          <w:rFonts w:eastAsia="Bookman old;MS PMincho"/>
          <w:b/>
          <w:bCs/>
          <w:lang w:bidi="uz-Cyrl-UZ"/>
        </w:rPr>
        <w:t>EQUATORIAL</w:t>
      </w:r>
      <w:r w:rsidRPr="004F5658">
        <w:rPr>
          <w:rFonts w:eastAsia="Bookman old;MS PMincho"/>
          <w:b/>
          <w:bCs/>
          <w:lang w:bidi="uz-Cyrl-UZ"/>
        </w:rPr>
        <w:t xml:space="preserve"> não comprovou o cumprimento da</w:t>
      </w:r>
      <w:r w:rsidR="004F7D9C">
        <w:rPr>
          <w:rFonts w:eastAsia="Bookman old;MS PMincho"/>
          <w:b/>
          <w:bCs/>
          <w:lang w:bidi="uz-Cyrl-UZ"/>
        </w:rPr>
        <w:t xml:space="preserve"> obrigação de não oferecer aos Servidores P</w:t>
      </w:r>
      <w:r w:rsidRPr="004F5658">
        <w:rPr>
          <w:rFonts w:eastAsia="Bookman old;MS PMincho"/>
          <w:b/>
          <w:bCs/>
          <w:lang w:bidi="uz-Cyrl-UZ"/>
        </w:rPr>
        <w:t>úblicos do Estado do Piauí empréstimos consignados condicionados à contratação de seguro de vida e/ou previdência privada, descumprindo a Sentença neste quesito</w:t>
      </w:r>
      <w:r>
        <w:rPr>
          <w:rFonts w:eastAsia="Bookman old;MS PMincho"/>
          <w:b/>
          <w:bCs/>
          <w:lang w:bidi="uz-Cyrl-UZ"/>
        </w:rPr>
        <w:t>.</w:t>
      </w:r>
    </w:p>
    <w:p w14:paraId="0C0911ED" w14:textId="32CA77D8" w:rsidR="000D7814" w:rsidRPr="000D7814" w:rsidRDefault="002D3311" w:rsidP="000D7814">
      <w:pPr>
        <w:spacing w:line="360" w:lineRule="auto"/>
        <w:ind w:firstLine="709"/>
        <w:jc w:val="both"/>
        <w:rPr>
          <w:rFonts w:eastAsia="Bookman old;MS PMincho"/>
          <w:b/>
          <w:lang w:bidi="uz-Cyrl-UZ"/>
        </w:rPr>
      </w:pPr>
      <w:r>
        <w:rPr>
          <w:rFonts w:eastAsia="Bookman old;MS PMincho"/>
          <w:lang w:bidi="uz-Cyrl-UZ"/>
        </w:rPr>
        <w:t xml:space="preserve">Já os demais executados </w:t>
      </w:r>
      <w:r>
        <w:rPr>
          <w:rFonts w:eastAsia="Bookman old;MS PMincho"/>
          <w:b/>
          <w:bCs/>
          <w:lang w:bidi="uz-Cyrl-UZ"/>
        </w:rPr>
        <w:t xml:space="preserve">UNIBRAS e </w:t>
      </w:r>
      <w:r w:rsidR="00F66EB6">
        <w:rPr>
          <w:rFonts w:eastAsia="Bookman old;MS PMincho"/>
          <w:b/>
          <w:bCs/>
          <w:lang w:bidi="uz-Cyrl-UZ"/>
        </w:rPr>
        <w:t xml:space="preserve">FEDERAL </w:t>
      </w:r>
      <w:r w:rsidR="004F7D9C">
        <w:rPr>
          <w:rFonts w:eastAsia="Bookman old;MS PMincho"/>
          <w:b/>
          <w:bCs/>
          <w:lang w:bidi="uz-Cyrl-UZ"/>
        </w:rPr>
        <w:t xml:space="preserve">DE </w:t>
      </w:r>
      <w:r w:rsidR="00F66EB6" w:rsidRPr="0085015C">
        <w:rPr>
          <w:rFonts w:eastAsia="Bookman old;MS PMincho"/>
          <w:b/>
          <w:bCs/>
          <w:lang w:bidi="uz-Cyrl-UZ"/>
        </w:rPr>
        <w:t xml:space="preserve">SEGUROS </w:t>
      </w:r>
      <w:r w:rsidRPr="0085015C">
        <w:rPr>
          <w:rFonts w:eastAsia="Bookman old;MS PMincho"/>
          <w:b/>
          <w:lang w:bidi="uz-Cyrl-UZ"/>
        </w:rPr>
        <w:t xml:space="preserve">não cumpriram quaisquer das obrigações de fazer e </w:t>
      </w:r>
      <w:r w:rsidR="004F7D9C">
        <w:rPr>
          <w:rFonts w:eastAsia="Bookman old;MS PMincho"/>
          <w:b/>
          <w:lang w:bidi="uz-Cyrl-UZ"/>
        </w:rPr>
        <w:t xml:space="preserve">de </w:t>
      </w:r>
      <w:r w:rsidRPr="0085015C">
        <w:rPr>
          <w:rFonts w:eastAsia="Bookman old;MS PMincho"/>
          <w:b/>
          <w:lang w:bidi="uz-Cyrl-UZ"/>
        </w:rPr>
        <w:t>não fazer.</w:t>
      </w:r>
    </w:p>
    <w:p w14:paraId="7CA48825" w14:textId="77777777" w:rsidR="0085015C" w:rsidRPr="000D7814" w:rsidRDefault="002D3311" w:rsidP="0085015C">
      <w:pPr>
        <w:spacing w:line="360" w:lineRule="auto"/>
        <w:ind w:firstLine="709"/>
        <w:jc w:val="both"/>
        <w:rPr>
          <w:rFonts w:eastAsia="Bookman old;MS PMincho"/>
          <w:b/>
          <w:lang w:bidi="uz-Cyrl-UZ"/>
        </w:rPr>
      </w:pPr>
      <w:r>
        <w:rPr>
          <w:rFonts w:eastAsia="Bookman old;MS PMincho"/>
          <w:lang w:bidi="uz-Cyrl-UZ"/>
        </w:rPr>
        <w:t xml:space="preserve">Impende destacar que, em </w:t>
      </w:r>
      <w:r>
        <w:rPr>
          <w:rFonts w:eastAsia="Bookman old;MS PMincho"/>
          <w:i/>
          <w:iCs/>
          <w:lang w:bidi="uz-Cyrl-UZ"/>
        </w:rPr>
        <w:t xml:space="preserve">decisum, </w:t>
      </w:r>
      <w:r w:rsidRPr="000D7814">
        <w:rPr>
          <w:rFonts w:eastAsia="Bookman old;MS PMincho"/>
          <w:b/>
          <w:u w:val="single"/>
          <w:lang w:bidi="uz-Cyrl-UZ"/>
        </w:rPr>
        <w:t>o Douto Magistrado previu multa pelo descumprimento das obrigações impostas, no limite de R$50.000,00 (cinquenta mil reais), no caso de descumprimento da obrigação de não fazer, e no limite de R$10.000,00 (dez mil reais), pelo descumprimento da obrigação de fazer.</w:t>
      </w:r>
    </w:p>
    <w:p w14:paraId="30D4CD8F" w14:textId="77777777" w:rsidR="002A67F1" w:rsidRDefault="002A67F1" w:rsidP="002A67F1">
      <w:pPr>
        <w:suppressAutoHyphens w:val="0"/>
        <w:spacing w:line="360" w:lineRule="auto"/>
        <w:ind w:firstLine="709"/>
        <w:jc w:val="both"/>
        <w:rPr>
          <w:kern w:val="0"/>
          <w:lang w:eastAsia="en-US"/>
        </w:rPr>
      </w:pPr>
      <w:r>
        <w:rPr>
          <w:kern w:val="0"/>
          <w:lang w:eastAsia="en-US"/>
        </w:rPr>
        <w:lastRenderedPageBreak/>
        <w:t>Sabe-se que essas multas nada mais são do que</w:t>
      </w:r>
      <w:r w:rsidRPr="002A67F1">
        <w:rPr>
          <w:kern w:val="0"/>
          <w:lang w:eastAsia="en-US"/>
        </w:rPr>
        <w:t xml:space="preserve"> medidas coercit</w:t>
      </w:r>
      <w:r>
        <w:rPr>
          <w:kern w:val="0"/>
          <w:lang w:eastAsia="en-US"/>
        </w:rPr>
        <w:t>ivas, consistentes</w:t>
      </w:r>
      <w:r w:rsidRPr="002A67F1">
        <w:rPr>
          <w:kern w:val="0"/>
          <w:lang w:eastAsia="en-US"/>
        </w:rPr>
        <w:t xml:space="preserve"> em sanções pecuniárias (multas) impostas ao réu, visando a influir na sua vontade, de modo a impeli-lo a fazer ou deixar de fazer a obrigação devida ao exequente. </w:t>
      </w:r>
    </w:p>
    <w:p w14:paraId="22CB12D7" w14:textId="77777777" w:rsidR="002A67F1" w:rsidRPr="000D7814" w:rsidRDefault="002A67F1" w:rsidP="002A67F1">
      <w:pPr>
        <w:suppressAutoHyphens w:val="0"/>
        <w:spacing w:line="360" w:lineRule="auto"/>
        <w:ind w:firstLine="709"/>
        <w:jc w:val="both"/>
        <w:rPr>
          <w:kern w:val="0"/>
          <w:lang w:eastAsia="en-US"/>
        </w:rPr>
      </w:pPr>
      <w:r w:rsidRPr="000D7814">
        <w:rPr>
          <w:kern w:val="0"/>
          <w:lang w:eastAsia="en-US"/>
        </w:rPr>
        <w:t xml:space="preserve">Essas multas não têm caráter </w:t>
      </w:r>
      <w:proofErr w:type="spellStart"/>
      <w:r w:rsidRPr="000D7814">
        <w:rPr>
          <w:kern w:val="0"/>
          <w:lang w:eastAsia="en-US"/>
        </w:rPr>
        <w:t>ressarcitório</w:t>
      </w:r>
      <w:proofErr w:type="spellEnd"/>
      <w:r w:rsidRPr="000D7814">
        <w:rPr>
          <w:kern w:val="0"/>
          <w:lang w:eastAsia="en-US"/>
        </w:rPr>
        <w:t xml:space="preserve">, mas coercitivo. A propósito, o art. 84, § 2.º, do CDC deixa claro que a indenização por eventuais perdas e danos se dará sem prejuízo da multa. </w:t>
      </w:r>
    </w:p>
    <w:p w14:paraId="65910189" w14:textId="1D4247A4" w:rsidR="002A67F1" w:rsidRPr="00C86E09" w:rsidRDefault="002A67F1" w:rsidP="00C86E09">
      <w:pPr>
        <w:suppressAutoHyphens w:val="0"/>
        <w:spacing w:line="360" w:lineRule="auto"/>
        <w:ind w:firstLine="709"/>
        <w:jc w:val="both"/>
        <w:rPr>
          <w:kern w:val="0"/>
          <w:lang w:eastAsia="en-US"/>
        </w:rPr>
      </w:pPr>
      <w:r w:rsidRPr="00C86E09">
        <w:rPr>
          <w:kern w:val="0"/>
          <w:lang w:eastAsia="en-US"/>
        </w:rPr>
        <w:t xml:space="preserve">Em outras palavras: se, apesar da cominação da multa, o requerido descumprir a obrigação de fazer ou não fazer, deverá pagar a multa, além de estar obrigado a indenizar por eventuais perdas e danos. </w:t>
      </w:r>
    </w:p>
    <w:p w14:paraId="5D348413" w14:textId="77777777" w:rsidR="00C86E09" w:rsidRDefault="00C86E09" w:rsidP="00C86E09">
      <w:pPr>
        <w:suppressAutoHyphens w:val="0"/>
        <w:spacing w:line="360" w:lineRule="auto"/>
        <w:ind w:firstLine="709"/>
        <w:jc w:val="both"/>
        <w:rPr>
          <w:color w:val="333333"/>
          <w:kern w:val="0"/>
          <w:shd w:val="clear" w:color="auto" w:fill="FFFFFF"/>
          <w:lang w:eastAsia="en-US"/>
        </w:rPr>
      </w:pPr>
      <w:r w:rsidRPr="00C86E09">
        <w:rPr>
          <w:color w:val="333333"/>
          <w:kern w:val="0"/>
          <w:shd w:val="clear" w:color="auto" w:fill="FFFFFF"/>
          <w:lang w:eastAsia="en-US"/>
        </w:rPr>
        <w:t xml:space="preserve">O art. 537, §2º, do novo Código de Processo Civil prevê que “O valor da multa será devido ao exequente”. Mas em se tratando de multa estabelecida em ação civil pública, o valor dela deverá ser destinado ao fundo mencionado no art. 13, da Lei n. 7.347/85. </w:t>
      </w:r>
    </w:p>
    <w:p w14:paraId="0E4C2ED8" w14:textId="77777777" w:rsidR="00EE321F" w:rsidRDefault="00C86E09" w:rsidP="00C86E09">
      <w:pPr>
        <w:suppressAutoHyphens w:val="0"/>
        <w:spacing w:line="360" w:lineRule="auto"/>
        <w:ind w:firstLine="709"/>
        <w:jc w:val="both"/>
        <w:rPr>
          <w:color w:val="333333"/>
          <w:kern w:val="0"/>
          <w:shd w:val="clear" w:color="auto" w:fill="FFFFFF"/>
          <w:lang w:eastAsia="en-US"/>
        </w:rPr>
      </w:pPr>
      <w:r w:rsidRPr="00C86E09">
        <w:rPr>
          <w:color w:val="333333"/>
          <w:kern w:val="0"/>
          <w:shd w:val="clear" w:color="auto" w:fill="FFFFFF"/>
          <w:lang w:eastAsia="en-US"/>
        </w:rPr>
        <w:t xml:space="preserve">Por sinal, o Superior Tribunal de Justiça já decidiu </w:t>
      </w:r>
      <w:r w:rsidR="00EE321F">
        <w:rPr>
          <w:color w:val="333333"/>
          <w:kern w:val="0"/>
          <w:shd w:val="clear" w:color="auto" w:fill="FFFFFF"/>
          <w:lang w:eastAsia="en-US"/>
        </w:rPr>
        <w:t xml:space="preserve">nesse sentido: </w:t>
      </w:r>
    </w:p>
    <w:p w14:paraId="7D7C28D3" w14:textId="77777777" w:rsidR="0059737A" w:rsidRDefault="0059737A" w:rsidP="00C86E09">
      <w:pPr>
        <w:suppressAutoHyphens w:val="0"/>
        <w:spacing w:line="360" w:lineRule="auto"/>
        <w:ind w:firstLine="709"/>
        <w:jc w:val="both"/>
        <w:rPr>
          <w:color w:val="333333"/>
          <w:kern w:val="0"/>
          <w:shd w:val="clear" w:color="auto" w:fill="FFFFFF"/>
          <w:lang w:eastAsia="en-US"/>
        </w:rPr>
      </w:pPr>
    </w:p>
    <w:p w14:paraId="3B3AE373" w14:textId="1BADBFA1" w:rsidR="00C86E09" w:rsidRPr="000840CE" w:rsidRDefault="00C86E09" w:rsidP="00256C2E">
      <w:pPr>
        <w:suppressAutoHyphens w:val="0"/>
        <w:ind w:left="2836"/>
        <w:jc w:val="both"/>
        <w:rPr>
          <w:kern w:val="0"/>
          <w:sz w:val="20"/>
          <w:szCs w:val="20"/>
          <w:lang w:eastAsia="en-US"/>
        </w:rPr>
      </w:pPr>
      <w:r w:rsidRPr="00C86E09">
        <w:rPr>
          <w:color w:val="333333"/>
          <w:kern w:val="0"/>
          <w:sz w:val="20"/>
          <w:szCs w:val="20"/>
          <w:shd w:val="clear" w:color="auto" w:fill="FFFFFF"/>
          <w:lang w:eastAsia="en-US"/>
        </w:rPr>
        <w:t>“A multa cominatória, em caso de descumprimento da obrigação de não fazer, deverá ser destinada ao Fundo indicado pelo Ministério Público, nos termos do art. 13 da Lei n. 7.347/85” (</w:t>
      </w:r>
      <w:proofErr w:type="spellStart"/>
      <w:r w:rsidRPr="00C86E09">
        <w:rPr>
          <w:color w:val="333333"/>
          <w:kern w:val="0"/>
          <w:sz w:val="20"/>
          <w:szCs w:val="20"/>
          <w:shd w:val="clear" w:color="auto" w:fill="FFFFFF"/>
          <w:lang w:eastAsia="en-US"/>
        </w:rPr>
        <w:t>REsp</w:t>
      </w:r>
      <w:proofErr w:type="spellEnd"/>
      <w:r w:rsidRPr="00C86E09">
        <w:rPr>
          <w:color w:val="333333"/>
          <w:kern w:val="0"/>
          <w:sz w:val="20"/>
          <w:szCs w:val="20"/>
          <w:shd w:val="clear" w:color="auto" w:fill="FFFFFF"/>
          <w:lang w:eastAsia="en-US"/>
        </w:rPr>
        <w:t xml:space="preserve"> </w:t>
      </w:r>
      <w:r w:rsidRPr="000840CE">
        <w:rPr>
          <w:color w:val="333333"/>
          <w:kern w:val="0"/>
          <w:sz w:val="20"/>
          <w:szCs w:val="20"/>
          <w:shd w:val="clear" w:color="auto" w:fill="FFFFFF"/>
          <w:lang w:eastAsia="en-US"/>
        </w:rPr>
        <w:t xml:space="preserve">794.752/MA, Rel. Ministro </w:t>
      </w:r>
      <w:proofErr w:type="spellStart"/>
      <w:r w:rsidRPr="000840CE">
        <w:rPr>
          <w:color w:val="333333"/>
          <w:kern w:val="0"/>
          <w:sz w:val="20"/>
          <w:szCs w:val="20"/>
          <w:shd w:val="clear" w:color="auto" w:fill="FFFFFF"/>
          <w:lang w:eastAsia="en-US"/>
        </w:rPr>
        <w:t>Luis</w:t>
      </w:r>
      <w:proofErr w:type="spellEnd"/>
      <w:r w:rsidRPr="000840CE">
        <w:rPr>
          <w:color w:val="333333"/>
          <w:kern w:val="0"/>
          <w:sz w:val="20"/>
          <w:szCs w:val="20"/>
          <w:shd w:val="clear" w:color="auto" w:fill="FFFFFF"/>
          <w:lang w:eastAsia="en-US"/>
        </w:rPr>
        <w:t xml:space="preserve"> Felipe Salomão, Quarta Turma, julgado em 16-03-2010, </w:t>
      </w:r>
      <w:proofErr w:type="spellStart"/>
      <w:r w:rsidRPr="000840CE">
        <w:rPr>
          <w:color w:val="333333"/>
          <w:kern w:val="0"/>
          <w:sz w:val="20"/>
          <w:szCs w:val="20"/>
          <w:shd w:val="clear" w:color="auto" w:fill="FFFFFF"/>
          <w:lang w:eastAsia="en-US"/>
        </w:rPr>
        <w:t>DJe</w:t>
      </w:r>
      <w:proofErr w:type="spellEnd"/>
      <w:r w:rsidRPr="000840CE">
        <w:rPr>
          <w:color w:val="333333"/>
          <w:kern w:val="0"/>
          <w:sz w:val="20"/>
          <w:szCs w:val="20"/>
          <w:shd w:val="clear" w:color="auto" w:fill="FFFFFF"/>
          <w:lang w:eastAsia="en-US"/>
        </w:rPr>
        <w:t xml:space="preserve"> 12-04-2010).</w:t>
      </w:r>
    </w:p>
    <w:p w14:paraId="71021B28" w14:textId="77777777" w:rsidR="00C86E09" w:rsidRPr="000840CE" w:rsidRDefault="00C86E09" w:rsidP="00386D69">
      <w:pPr>
        <w:suppressAutoHyphens w:val="0"/>
        <w:spacing w:line="360" w:lineRule="auto"/>
        <w:ind w:firstLine="709"/>
        <w:jc w:val="both"/>
        <w:rPr>
          <w:kern w:val="0"/>
          <w:lang w:eastAsia="en-US"/>
        </w:rPr>
      </w:pPr>
    </w:p>
    <w:p w14:paraId="448F586C" w14:textId="35FB5E20" w:rsidR="0068753E" w:rsidRPr="000840CE" w:rsidRDefault="00386D69" w:rsidP="000840CE">
      <w:pPr>
        <w:spacing w:line="360" w:lineRule="auto"/>
        <w:ind w:firstLine="709"/>
        <w:jc w:val="both"/>
        <w:rPr>
          <w:rFonts w:eastAsia="Bookman old;MS PMincho"/>
          <w:lang w:bidi="uz-Cyrl-UZ"/>
        </w:rPr>
      </w:pPr>
      <w:r w:rsidRPr="000840CE">
        <w:rPr>
          <w:rFonts w:eastAsia="Bookman old;MS PMincho"/>
          <w:lang w:bidi="uz-Cyrl-UZ"/>
        </w:rPr>
        <w:t>Assim</w:t>
      </w:r>
      <w:r w:rsidR="002D3311" w:rsidRPr="000840CE">
        <w:rPr>
          <w:rFonts w:eastAsia="Bookman old;MS PMincho"/>
          <w:lang w:bidi="uz-Cyrl-UZ"/>
        </w:rPr>
        <w:t>,</w:t>
      </w:r>
      <w:r w:rsidRPr="000840CE">
        <w:rPr>
          <w:rFonts w:eastAsia="Bookman old;MS PMincho"/>
          <w:b/>
          <w:lang w:bidi="uz-Cyrl-UZ"/>
        </w:rPr>
        <w:t xml:space="preserve"> REQUER-SE O CUMPRIMENTO DE</w:t>
      </w:r>
      <w:r w:rsidR="002D3311" w:rsidRPr="000840CE">
        <w:rPr>
          <w:rFonts w:eastAsia="Bookman old;MS PMincho"/>
          <w:b/>
          <w:lang w:bidi="uz-Cyrl-UZ"/>
        </w:rPr>
        <w:t xml:space="preserve"> SENTENÇA PARA QUE OS EXECUTADOS SEJAM COMPELIDOS A PAGAR AS MULTAS IMPOSTAS</w:t>
      </w:r>
      <w:r w:rsidR="003B1E8D" w:rsidRPr="000840CE">
        <w:rPr>
          <w:rFonts w:eastAsia="Bookman old;MS PMincho"/>
          <w:lang w:bidi="uz-Cyrl-UZ"/>
        </w:rPr>
        <w:t xml:space="preserve">, </w:t>
      </w:r>
      <w:r w:rsidR="003B1E8D" w:rsidRPr="000840CE">
        <w:rPr>
          <w:rFonts w:eastAsia="Bookman old;MS PMincho"/>
          <w:b/>
          <w:lang w:bidi="uz-Cyrl-UZ"/>
        </w:rPr>
        <w:t>conforme cálculos em anexo (DOC. 09; DOC. 10 e DOC. 11)</w:t>
      </w:r>
      <w:r w:rsidR="000840CE" w:rsidRPr="000840CE">
        <w:rPr>
          <w:rFonts w:eastAsia="Bookman old;MS PMincho"/>
          <w:b/>
          <w:lang w:bidi="uz-Cyrl-UZ"/>
        </w:rPr>
        <w:t xml:space="preserve">, </w:t>
      </w:r>
      <w:r w:rsidR="002D3311" w:rsidRPr="000840CE">
        <w:rPr>
          <w:rFonts w:eastAsia="Arial Unicode MS" w:cs="Bookman Old Style;Times New Rom"/>
          <w:bCs/>
          <w:color w:val="000000"/>
          <w:lang w:eastAsia="uz-Cyrl-UZ" w:bidi="uz-Cyrl-UZ"/>
        </w:rPr>
        <w:t>a ser</w:t>
      </w:r>
      <w:r w:rsidR="002D3311" w:rsidRPr="000840CE">
        <w:rPr>
          <w:rFonts w:eastAsia="Calibri"/>
          <w:bCs/>
          <w:iCs/>
          <w:color w:val="000000"/>
          <w:lang w:eastAsia="uz-Cyrl-UZ" w:bidi="uz-Cyrl-UZ"/>
        </w:rPr>
        <w:t xml:space="preserve"> revertido para o Fundo Estadual de Proteção e Defesa do Consumidor – FPDC, CNPJ n° 24.291.901/</w:t>
      </w:r>
      <w:r w:rsidR="002D3311" w:rsidRPr="000840CE">
        <w:rPr>
          <w:rStyle w:val="StrongEmphasis"/>
          <w:rFonts w:eastAsia="Calibri"/>
          <w:b w:val="0"/>
          <w:iCs/>
          <w:color w:val="000000"/>
          <w:lang w:eastAsia="uz-Cyrl-UZ" w:bidi="uz-Cyrl-UZ"/>
        </w:rPr>
        <w:t>/0001-48 (Agência n° 3791-5, Conta Corrente n° 10.158-3, Banco do Brasil</w:t>
      </w:r>
      <w:r w:rsidR="002D3311" w:rsidRPr="000840CE">
        <w:rPr>
          <w:rFonts w:eastAsia="Calibri"/>
          <w:bCs/>
          <w:iCs/>
          <w:color w:val="000000"/>
          <w:lang w:eastAsia="uz-Cyrl-UZ" w:bidi="uz-Cyrl-UZ"/>
        </w:rPr>
        <w:t>), mencionado no artigo 13 da Lei nº 7.347/85 e em conformidade com a Lei Estadual nº 6.308/2013.</w:t>
      </w:r>
    </w:p>
    <w:p w14:paraId="20BEE80A" w14:textId="77777777" w:rsidR="007F66B0" w:rsidRDefault="007F66B0" w:rsidP="0085015C">
      <w:pPr>
        <w:spacing w:line="360" w:lineRule="auto"/>
        <w:ind w:firstLine="709"/>
        <w:jc w:val="both"/>
        <w:rPr>
          <w:rFonts w:eastAsia="Calibri"/>
          <w:bCs/>
          <w:iCs/>
          <w:color w:val="000000"/>
          <w:lang w:eastAsia="uz-Cyrl-UZ" w:bidi="uz-Cyrl-UZ"/>
        </w:rPr>
      </w:pPr>
    </w:p>
    <w:p w14:paraId="4A53AEB4" w14:textId="7BB61143" w:rsidR="007F66B0" w:rsidRPr="00300417" w:rsidRDefault="00D00F24" w:rsidP="007F66B0">
      <w:pPr>
        <w:spacing w:line="360" w:lineRule="auto"/>
        <w:jc w:val="both"/>
        <w:rPr>
          <w:b/>
          <w:bCs/>
          <w:u w:val="single"/>
          <w:lang w:bidi="uz-Cyrl-UZ"/>
        </w:rPr>
      </w:pPr>
      <w:r w:rsidRPr="00300417">
        <w:rPr>
          <w:b/>
          <w:bCs/>
          <w:u w:val="single"/>
          <w:lang w:bidi="uz-Cyrl-UZ"/>
        </w:rPr>
        <w:t>3.2</w:t>
      </w:r>
      <w:r w:rsidR="007F66B0" w:rsidRPr="00300417">
        <w:rPr>
          <w:b/>
          <w:bCs/>
          <w:u w:val="single"/>
          <w:lang w:bidi="uz-Cyrl-UZ"/>
        </w:rPr>
        <w:t xml:space="preserve"> – DA OBRIGAÇÃO DE PAGAR</w:t>
      </w:r>
    </w:p>
    <w:p w14:paraId="68DC4527" w14:textId="77777777" w:rsidR="007F66B0" w:rsidRDefault="007F66B0" w:rsidP="007F66B0">
      <w:pPr>
        <w:spacing w:line="360" w:lineRule="auto"/>
        <w:jc w:val="both"/>
        <w:rPr>
          <w:b/>
          <w:bCs/>
          <w:u w:val="single"/>
          <w:lang w:bidi="uz-Cyrl-UZ"/>
        </w:rPr>
      </w:pPr>
    </w:p>
    <w:p w14:paraId="2C30E934" w14:textId="1E8A6B4E" w:rsidR="008932A1" w:rsidRPr="008932A1" w:rsidRDefault="008932A1" w:rsidP="008932A1">
      <w:pPr>
        <w:spacing w:line="360" w:lineRule="auto"/>
        <w:ind w:firstLine="709"/>
        <w:jc w:val="both"/>
        <w:rPr>
          <w:rFonts w:eastAsia="Bookman old;MS PMincho"/>
          <w:lang w:bidi="uz-Cyrl-UZ"/>
        </w:rPr>
      </w:pPr>
      <w:r w:rsidRPr="008932A1">
        <w:rPr>
          <w:rFonts w:eastAsia="Bookman old;MS PMincho"/>
          <w:lang w:bidi="uz-Cyrl-UZ"/>
        </w:rPr>
        <w:t xml:space="preserve">Os réus foram, também, </w:t>
      </w:r>
      <w:r w:rsidRPr="004B5548">
        <w:rPr>
          <w:rFonts w:eastAsia="Bookman old;MS PMincho"/>
          <w:lang w:bidi="uz-Cyrl-UZ"/>
        </w:rPr>
        <w:t xml:space="preserve">condenados a </w:t>
      </w:r>
      <w:r w:rsidRPr="004B5548">
        <w:rPr>
          <w:rFonts w:eastAsia="Bookman old;MS PMincho"/>
          <w:bCs/>
          <w:lang w:bidi="uz-Cyrl-UZ"/>
        </w:rPr>
        <w:t>restituírem os valores descontados indevidamente relativos a seguros e/ou previdência privada</w:t>
      </w:r>
      <w:r w:rsidRPr="004B5548">
        <w:rPr>
          <w:rFonts w:eastAsia="Bookman old;MS PMincho"/>
          <w:lang w:bidi="uz-Cyrl-UZ"/>
        </w:rPr>
        <w:t xml:space="preserve"> de todos os servidores públicos do Estado do Piauí que contratam com as demandadas empréstimos com consignação em folha de pagamento, devidamente corrigido com juros e correção monetária, segundo índices oficiais, sem prejuízo de perdas e danos a serem demonstrados na fase de liquidação da sentença.</w:t>
      </w:r>
    </w:p>
    <w:p w14:paraId="3F9502C4" w14:textId="5297FF7B" w:rsidR="008932A1" w:rsidRPr="004B5548" w:rsidRDefault="0059548F" w:rsidP="008932A1">
      <w:pPr>
        <w:spacing w:line="360" w:lineRule="auto"/>
        <w:ind w:firstLine="709"/>
        <w:jc w:val="both"/>
        <w:rPr>
          <w:b/>
        </w:rPr>
      </w:pPr>
      <w:r w:rsidRPr="004B5548">
        <w:rPr>
          <w:rFonts w:eastAsia="Bookman old;MS PMincho"/>
          <w:b/>
          <w:lang w:bidi="uz-Cyrl-UZ"/>
        </w:rPr>
        <w:t xml:space="preserve">No que se refere </w:t>
      </w:r>
      <w:r w:rsidRPr="004B5548">
        <w:rPr>
          <w:b/>
        </w:rPr>
        <w:t>a parte ilíquida</w:t>
      </w:r>
      <w:r w:rsidR="00D00F24" w:rsidRPr="004B5548">
        <w:rPr>
          <w:b/>
        </w:rPr>
        <w:t xml:space="preserve"> da sentença, segue, </w:t>
      </w:r>
      <w:r w:rsidRPr="004B5548">
        <w:rPr>
          <w:b/>
        </w:rPr>
        <w:t>nesta mesma data</w:t>
      </w:r>
      <w:r w:rsidR="00D00F24" w:rsidRPr="004B5548">
        <w:rPr>
          <w:b/>
        </w:rPr>
        <w:t>,</w:t>
      </w:r>
      <w:r w:rsidRPr="004B5548">
        <w:rPr>
          <w:b/>
        </w:rPr>
        <w:t xml:space="preserve"> para Liquidação de Sentença por Arbitramento, em pedido distribuído a este mesmo douto juízo.</w:t>
      </w:r>
    </w:p>
    <w:p w14:paraId="64EE2B32" w14:textId="3A693F7E" w:rsidR="0059548F" w:rsidRDefault="00044188" w:rsidP="0059548F">
      <w:pPr>
        <w:pStyle w:val="BodyText"/>
        <w:spacing w:line="360" w:lineRule="auto"/>
        <w:ind w:firstLine="709"/>
        <w:jc w:val="both"/>
      </w:pPr>
      <w:r>
        <w:t>Enfatiza-se a previsão do</w:t>
      </w:r>
      <w:r w:rsidR="0059548F" w:rsidRPr="00581110">
        <w:t xml:space="preserve"> </w:t>
      </w:r>
      <w:r w:rsidR="00581110" w:rsidRPr="00581110">
        <w:t>§1</w:t>
      </w:r>
      <w:r w:rsidR="00581110" w:rsidRPr="00581110">
        <w:rPr>
          <w:vertAlign w:val="superscript"/>
        </w:rPr>
        <w:t>o</w:t>
      </w:r>
      <w:r w:rsidR="00581110" w:rsidRPr="00581110">
        <w:t xml:space="preserve"> </w:t>
      </w:r>
      <w:r w:rsidR="0059548F" w:rsidRPr="00581110">
        <w:t>do artigo 509</w:t>
      </w:r>
      <w:r w:rsidR="00581110" w:rsidRPr="00581110">
        <w:t>, no qual</w:t>
      </w:r>
      <w:r w:rsidR="0059548F" w:rsidRPr="00581110">
        <w:t xml:space="preserve"> autoriza a abertura dos dois procedimentos simultaneamente:</w:t>
      </w:r>
    </w:p>
    <w:p w14:paraId="1F373338" w14:textId="77777777" w:rsidR="0059737A" w:rsidRPr="00581110" w:rsidRDefault="0059737A" w:rsidP="0059548F">
      <w:pPr>
        <w:pStyle w:val="BodyText"/>
        <w:spacing w:line="360" w:lineRule="auto"/>
        <w:ind w:firstLine="709"/>
        <w:jc w:val="both"/>
      </w:pPr>
    </w:p>
    <w:p w14:paraId="1FFC0192" w14:textId="77777777" w:rsidR="0059548F" w:rsidRPr="006779F4" w:rsidRDefault="0059548F" w:rsidP="006779F4">
      <w:pPr>
        <w:pStyle w:val="BodyText"/>
        <w:spacing w:after="0"/>
        <w:ind w:left="2836"/>
        <w:jc w:val="both"/>
        <w:rPr>
          <w:sz w:val="20"/>
          <w:szCs w:val="20"/>
        </w:rPr>
      </w:pPr>
      <w:r w:rsidRPr="006779F4">
        <w:rPr>
          <w:sz w:val="20"/>
          <w:szCs w:val="20"/>
        </w:rPr>
        <w:t>Art. 509. Quando a sentença condenar ao pagamento de quantia ilíquida, proceder-se-á à sua liquidação, a requerimento do credor ou do devedor:</w:t>
      </w:r>
    </w:p>
    <w:p w14:paraId="21D500CD" w14:textId="77777777" w:rsidR="0059548F" w:rsidRPr="006779F4" w:rsidRDefault="0059548F" w:rsidP="006779F4">
      <w:pPr>
        <w:pStyle w:val="BodyText"/>
        <w:spacing w:after="0"/>
        <w:ind w:left="2836"/>
        <w:jc w:val="both"/>
        <w:rPr>
          <w:sz w:val="20"/>
          <w:szCs w:val="20"/>
        </w:rPr>
      </w:pPr>
      <w:r w:rsidRPr="006779F4">
        <w:rPr>
          <w:sz w:val="20"/>
          <w:szCs w:val="20"/>
        </w:rPr>
        <w:t>(...)</w:t>
      </w:r>
    </w:p>
    <w:p w14:paraId="038C8C3F" w14:textId="77777777" w:rsidR="0059548F" w:rsidRPr="006779F4" w:rsidRDefault="0059548F" w:rsidP="006779F4">
      <w:pPr>
        <w:pStyle w:val="BodyText"/>
        <w:spacing w:after="0"/>
        <w:ind w:left="2836"/>
        <w:jc w:val="both"/>
        <w:rPr>
          <w:sz w:val="20"/>
          <w:szCs w:val="20"/>
        </w:rPr>
      </w:pPr>
      <w:r w:rsidRPr="006779F4">
        <w:rPr>
          <w:sz w:val="20"/>
          <w:szCs w:val="20"/>
        </w:rPr>
        <w:t>§ 1o Quando na sentença houver uma parte líquida e outra ilíquida, ao credor é lícito promover simultaneamente a execução daquela e, em autos apartados, a liquidação desta.</w:t>
      </w:r>
    </w:p>
    <w:p w14:paraId="01743563" w14:textId="77777777" w:rsidR="004F5658" w:rsidRPr="001479FB" w:rsidRDefault="004F5658" w:rsidP="004F5658">
      <w:pPr>
        <w:spacing w:line="360" w:lineRule="auto"/>
        <w:jc w:val="both"/>
        <w:rPr>
          <w:color w:val="0000FF"/>
        </w:rPr>
      </w:pPr>
    </w:p>
    <w:tbl>
      <w:tblPr>
        <w:tblW w:w="85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40"/>
      </w:tblGrid>
      <w:tr w:rsidR="004F5658" w:rsidRPr="00D00F24" w14:paraId="03F303D0" w14:textId="77777777" w:rsidTr="00E5303F">
        <w:trPr>
          <w:trHeight w:val="241"/>
        </w:trPr>
        <w:tc>
          <w:tcPr>
            <w:tcW w:w="8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30C499" w14:textId="77777777" w:rsidR="004F5658" w:rsidRPr="00D00F24" w:rsidRDefault="004F5658" w:rsidP="00E5303F">
            <w:pPr>
              <w:pStyle w:val="Header"/>
              <w:widowControl w:val="0"/>
              <w:spacing w:before="0" w:after="0" w:line="360" w:lineRule="auto"/>
              <w:ind w:left="102" w:right="49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– </w:t>
            </w:r>
            <w:r w:rsidRPr="00D00F24">
              <w:rPr>
                <w:rFonts w:ascii="Times New Roman" w:hAnsi="Times New Roman" w:cs="Times New Roman"/>
                <w:b/>
                <w:sz w:val="24"/>
                <w:szCs w:val="24"/>
              </w:rPr>
              <w:t>DOS PARÂMETROS EXEQUENDOS DA AÇÃO CIVIL PÚBLICA ORIGINÁRIA</w:t>
            </w:r>
          </w:p>
        </w:tc>
      </w:tr>
    </w:tbl>
    <w:p w14:paraId="3EAE0E1D" w14:textId="77777777" w:rsidR="004F5658" w:rsidRDefault="004F5658" w:rsidP="004F5658">
      <w:pPr>
        <w:spacing w:line="360" w:lineRule="auto"/>
        <w:jc w:val="both"/>
        <w:rPr>
          <w:rFonts w:eastAsia="Calibri"/>
          <w:bCs/>
          <w:iCs/>
          <w:color w:val="000000"/>
          <w:lang w:eastAsia="uz-Cyrl-UZ" w:bidi="uz-Cyrl-UZ"/>
        </w:rPr>
      </w:pPr>
    </w:p>
    <w:p w14:paraId="36604694" w14:textId="3CABB500" w:rsidR="004F5658" w:rsidRPr="004F5658" w:rsidRDefault="004F5658" w:rsidP="004F5658">
      <w:pPr>
        <w:pStyle w:val="BodyText"/>
        <w:spacing w:line="360" w:lineRule="auto"/>
        <w:ind w:firstLine="709"/>
        <w:jc w:val="both"/>
      </w:pPr>
      <w:r w:rsidRPr="004F5658">
        <w:t xml:space="preserve">Verifica-se a necessidade de atualização com juros e correção monetária, à luz do artigo 509 do </w:t>
      </w:r>
      <w:hyperlink r:id="rId8">
        <w:r w:rsidRPr="004F5658">
          <w:rPr>
            <w:rStyle w:val="InternetLink"/>
            <w:color w:val="auto"/>
            <w:u w:val="none"/>
          </w:rPr>
          <w:t>Código de Processo Civil</w:t>
        </w:r>
      </w:hyperlink>
      <w:r w:rsidRPr="004F5658">
        <w:t xml:space="preserve">, em seu parágrafo 2º, e o artigo </w:t>
      </w:r>
      <w:hyperlink r:id="rId9">
        <w:r w:rsidRPr="004F5658">
          <w:rPr>
            <w:rStyle w:val="InternetLink"/>
            <w:color w:val="auto"/>
            <w:u w:val="none"/>
          </w:rPr>
          <w:t>523</w:t>
        </w:r>
      </w:hyperlink>
      <w:r w:rsidRPr="004F5658">
        <w:t xml:space="preserve">, caput, do mesmo </w:t>
      </w:r>
      <w:proofErr w:type="spellStart"/>
      <w:r w:rsidRPr="004F5658">
        <w:t>codex</w:t>
      </w:r>
      <w:proofErr w:type="spellEnd"/>
      <w:r w:rsidRPr="004F5658">
        <w:t>:</w:t>
      </w:r>
    </w:p>
    <w:p w14:paraId="26805FA7" w14:textId="77777777" w:rsidR="004F5658" w:rsidRPr="00E5303F" w:rsidRDefault="004F5658" w:rsidP="004F5658">
      <w:pPr>
        <w:pStyle w:val="BodyText"/>
        <w:spacing w:after="0"/>
        <w:ind w:left="2835"/>
        <w:jc w:val="both"/>
        <w:rPr>
          <w:sz w:val="20"/>
          <w:szCs w:val="20"/>
        </w:rPr>
      </w:pPr>
      <w:r w:rsidRPr="00E5303F">
        <w:rPr>
          <w:sz w:val="20"/>
          <w:szCs w:val="20"/>
        </w:rPr>
        <w:t>Art. 509. Quando a sentença condenar ao pagamento de quantia ilíquida, proceder-se-á à sua liquidação, a requerimento do credor ou do devedor:</w:t>
      </w:r>
    </w:p>
    <w:p w14:paraId="25E252E0" w14:textId="77777777" w:rsidR="004F5658" w:rsidRPr="00E5303F" w:rsidRDefault="004F5658" w:rsidP="004F5658">
      <w:pPr>
        <w:pStyle w:val="BodyText"/>
        <w:spacing w:after="0"/>
        <w:ind w:left="2835"/>
        <w:jc w:val="both"/>
        <w:rPr>
          <w:b/>
          <w:sz w:val="20"/>
          <w:szCs w:val="20"/>
        </w:rPr>
      </w:pPr>
      <w:r w:rsidRPr="00E5303F">
        <w:rPr>
          <w:sz w:val="20"/>
          <w:szCs w:val="20"/>
        </w:rPr>
        <w:lastRenderedPageBreak/>
        <w:t xml:space="preserve">§ 2o Quando a apuração do valor depender apenas de cálculo aritmético, </w:t>
      </w:r>
      <w:r w:rsidRPr="00E5303F">
        <w:rPr>
          <w:b/>
          <w:sz w:val="20"/>
          <w:szCs w:val="20"/>
        </w:rPr>
        <w:t>o credor poderá promover, desde logo, o cumprimento da sentença.</w:t>
      </w:r>
    </w:p>
    <w:p w14:paraId="7692209B" w14:textId="77777777" w:rsidR="004F5658" w:rsidRDefault="004F5658" w:rsidP="004F5658">
      <w:pPr>
        <w:pStyle w:val="BodyText"/>
        <w:spacing w:after="0"/>
        <w:ind w:left="2835"/>
        <w:jc w:val="both"/>
        <w:rPr>
          <w:sz w:val="20"/>
          <w:szCs w:val="20"/>
        </w:rPr>
      </w:pPr>
      <w:r w:rsidRPr="00E5303F">
        <w:rPr>
          <w:sz w:val="20"/>
          <w:szCs w:val="20"/>
        </w:rPr>
        <w:t>[...]</w:t>
      </w:r>
    </w:p>
    <w:p w14:paraId="5305EB1F" w14:textId="77777777" w:rsidR="00486AF0" w:rsidRPr="00E5303F" w:rsidRDefault="00486AF0" w:rsidP="004F5658">
      <w:pPr>
        <w:pStyle w:val="BodyText"/>
        <w:spacing w:after="0"/>
        <w:ind w:left="2835"/>
        <w:jc w:val="both"/>
        <w:rPr>
          <w:sz w:val="20"/>
          <w:szCs w:val="20"/>
        </w:rPr>
      </w:pPr>
    </w:p>
    <w:p w14:paraId="5EF9D437" w14:textId="77777777" w:rsidR="004F5658" w:rsidRPr="0083227C" w:rsidRDefault="004F5658" w:rsidP="004F5658">
      <w:pPr>
        <w:pStyle w:val="BodyText"/>
        <w:spacing w:after="0"/>
        <w:ind w:left="2835"/>
        <w:jc w:val="both"/>
      </w:pPr>
      <w:r w:rsidRPr="00E5303F">
        <w:rPr>
          <w:sz w:val="20"/>
          <w:szCs w:val="20"/>
        </w:rPr>
        <w:t xml:space="preserve">Art. 523. No caso de condenação em quantia certa, ou já fixada em liquidação, e no caso de decisão sobre parcela incontroversa, o cumprimento definitivo da sentença far-se-á a requerimento do </w:t>
      </w:r>
      <w:r w:rsidRPr="0083227C">
        <w:rPr>
          <w:sz w:val="20"/>
          <w:szCs w:val="20"/>
        </w:rPr>
        <w:t>exequente, sendo o executado intimado para pagar o débito, no prazo de 15 (quinze) dias, acrescido de custas, se houver.</w:t>
      </w:r>
    </w:p>
    <w:p w14:paraId="314F3034" w14:textId="77777777" w:rsidR="004F5658" w:rsidRPr="0083227C" w:rsidRDefault="004F5658" w:rsidP="004F5658">
      <w:pPr>
        <w:pStyle w:val="BodyText"/>
        <w:spacing w:line="360" w:lineRule="auto"/>
        <w:jc w:val="both"/>
      </w:pPr>
    </w:p>
    <w:p w14:paraId="6CD6C296" w14:textId="3D36E838" w:rsidR="00261E1C" w:rsidRPr="0083227C" w:rsidRDefault="004F5658" w:rsidP="00A47F30">
      <w:pPr>
        <w:pStyle w:val="BodyText"/>
        <w:spacing w:line="360" w:lineRule="auto"/>
        <w:ind w:firstLine="709"/>
        <w:jc w:val="both"/>
      </w:pPr>
      <w:r w:rsidRPr="0083227C">
        <w:t xml:space="preserve">Com efeito, </w:t>
      </w:r>
      <w:r w:rsidR="004F61A6">
        <w:t>o Novo Código de Processo Civil</w:t>
      </w:r>
      <w:r w:rsidRPr="0083227C">
        <w:t xml:space="preserve"> determina que o requerente deve</w:t>
      </w:r>
      <w:r w:rsidR="004F61A6">
        <w:t xml:space="preserve"> apresentar os nomes e os dados </w:t>
      </w:r>
      <w:r w:rsidRPr="0083227C">
        <w:t>do exequente e do executado, o índice de correção adotado, os juros e taxas, o termo inicial, o termo final e a periodicidade da aplicação e da capitalização dos juros, entre outros elementos de positivação do cálculo discriminado e</w:t>
      </w:r>
      <w:r w:rsidR="0083227C" w:rsidRPr="0083227C">
        <w:t xml:space="preserve"> atualizado do débito exequendo </w:t>
      </w:r>
      <w:r w:rsidRPr="0083227C">
        <w:t xml:space="preserve">(artigo </w:t>
      </w:r>
      <w:hyperlink r:id="rId10">
        <w:r w:rsidRPr="0083227C">
          <w:rPr>
            <w:rStyle w:val="InternetLink"/>
            <w:color w:val="auto"/>
            <w:u w:val="none"/>
          </w:rPr>
          <w:t>534</w:t>
        </w:r>
      </w:hyperlink>
      <w:r w:rsidRPr="0083227C">
        <w:t xml:space="preserve"> e seus incisos, da Lei </w:t>
      </w:r>
      <w:hyperlink r:id="rId11">
        <w:r w:rsidRPr="0083227C">
          <w:rPr>
            <w:rStyle w:val="InternetLink"/>
            <w:color w:val="auto"/>
            <w:u w:val="none"/>
          </w:rPr>
          <w:t>13.105</w:t>
        </w:r>
      </w:hyperlink>
      <w:r w:rsidR="0083227C" w:rsidRPr="0083227C">
        <w:t>/2015), o que pode ser visto nas memórias de cálculo anexas (DOC. 09; DOC. 10; DOC. 11).</w:t>
      </w:r>
    </w:p>
    <w:p w14:paraId="05F3F05A" w14:textId="26D4E27F" w:rsidR="00261E1C" w:rsidRPr="00A47F30" w:rsidRDefault="00C87311" w:rsidP="00261E1C">
      <w:pPr>
        <w:pStyle w:val="BodyText"/>
        <w:jc w:val="both"/>
        <w:rPr>
          <w:b/>
          <w:u w:val="single"/>
        </w:rPr>
      </w:pPr>
      <w:r>
        <w:rPr>
          <w:b/>
          <w:u w:val="single"/>
        </w:rPr>
        <w:t>4.1 - DA CORREÇÃO MONETÁRIA</w:t>
      </w:r>
    </w:p>
    <w:p w14:paraId="7A5869E9" w14:textId="77777777" w:rsidR="00261E1C" w:rsidRPr="00A47F30" w:rsidRDefault="00261E1C" w:rsidP="00261E1C">
      <w:pPr>
        <w:pStyle w:val="BodyText"/>
        <w:jc w:val="both"/>
        <w:rPr>
          <w:b/>
        </w:rPr>
      </w:pPr>
    </w:p>
    <w:p w14:paraId="79FDBECD" w14:textId="46EF8C02" w:rsidR="00C87311" w:rsidRDefault="00C87311" w:rsidP="00261E1C">
      <w:pPr>
        <w:pStyle w:val="BodyText"/>
        <w:spacing w:after="0" w:line="360" w:lineRule="auto"/>
        <w:ind w:firstLine="709"/>
        <w:jc w:val="both"/>
      </w:pPr>
      <w:r>
        <w:t>A r. Sentença de 1</w:t>
      </w:r>
      <w:r w:rsidRPr="00C87311">
        <w:rPr>
          <w:vertAlign w:val="superscript"/>
        </w:rPr>
        <w:t>o</w:t>
      </w:r>
      <w:r>
        <w:t xml:space="preserve"> grau não dispôs de forma clara o parâmetro a ser utilizado na correção monetária. </w:t>
      </w:r>
    </w:p>
    <w:p w14:paraId="460E36D2" w14:textId="3A9E5A26" w:rsidR="00261E1C" w:rsidRDefault="00261E1C" w:rsidP="00261E1C">
      <w:pPr>
        <w:pStyle w:val="BodyText"/>
        <w:spacing w:after="0" w:line="360" w:lineRule="auto"/>
        <w:ind w:firstLine="709"/>
        <w:jc w:val="both"/>
      </w:pPr>
      <w:r w:rsidRPr="00A47F30">
        <w:t xml:space="preserve">A fim de erradicar maiores discussões, </w:t>
      </w:r>
      <w:r w:rsidR="009A33A3">
        <w:t xml:space="preserve">vale mencionar que </w:t>
      </w:r>
      <w:r w:rsidRPr="00A47F30">
        <w:t xml:space="preserve">a correção monetária pelos ÍNDICES OFICIAIS DE POUPANÇA (Indexador: TR), há muito tempo foi julgada inconstitucional pelo Excelso Supremo Tribunal Federal – STF, no julgamento da ADIN 493/DF, </w:t>
      </w:r>
      <w:r w:rsidRPr="00A47F30">
        <w:rPr>
          <w:i/>
        </w:rPr>
        <w:t>in verbis</w:t>
      </w:r>
      <w:r w:rsidRPr="00A47F30">
        <w:t xml:space="preserve">: </w:t>
      </w:r>
    </w:p>
    <w:p w14:paraId="23B4BBE5" w14:textId="77777777" w:rsidR="0059737A" w:rsidRPr="00A47F30" w:rsidRDefault="0059737A" w:rsidP="00261E1C">
      <w:pPr>
        <w:pStyle w:val="BodyText"/>
        <w:spacing w:after="0" w:line="360" w:lineRule="auto"/>
        <w:ind w:firstLine="709"/>
        <w:jc w:val="both"/>
      </w:pPr>
    </w:p>
    <w:p w14:paraId="55A34793" w14:textId="686D5910" w:rsidR="00261E1C" w:rsidRDefault="00261E1C" w:rsidP="00A47F30">
      <w:pPr>
        <w:pStyle w:val="BodyText"/>
        <w:ind w:left="2836"/>
        <w:jc w:val="both"/>
        <w:rPr>
          <w:sz w:val="20"/>
          <w:szCs w:val="20"/>
        </w:rPr>
      </w:pPr>
      <w:r w:rsidRPr="00A47F30">
        <w:rPr>
          <w:sz w:val="20"/>
          <w:szCs w:val="20"/>
        </w:rPr>
        <w:t>“A taxa referencial (TR) não é índice de correção monetária, pois refletindo as variações do custo primário da captação dos depósitos a prazo fixo, não constitui índice que reflita a variação do poder aquisitivo da moeda”(STF – ADIN n.º 493/DF – TRIBUNAL PLENO – Min. Rel. MOREIRA ALVES, j. 25/06/1992, DJU – 04/09/1992)</w:t>
      </w:r>
    </w:p>
    <w:p w14:paraId="45FE9912" w14:textId="77777777" w:rsidR="00A47F30" w:rsidRPr="00A47F30" w:rsidRDefault="00A47F30" w:rsidP="00A47F30">
      <w:pPr>
        <w:pStyle w:val="BodyText"/>
        <w:ind w:left="2836"/>
        <w:jc w:val="both"/>
        <w:rPr>
          <w:sz w:val="20"/>
          <w:szCs w:val="20"/>
        </w:rPr>
      </w:pPr>
    </w:p>
    <w:p w14:paraId="73FDC09E" w14:textId="77777777" w:rsidR="00261E1C" w:rsidRDefault="00261E1C" w:rsidP="00261E1C">
      <w:pPr>
        <w:pStyle w:val="BodyText"/>
        <w:ind w:firstLine="709"/>
      </w:pPr>
      <w:r w:rsidRPr="00A47F30">
        <w:t>Na mesma vertente, é o entendimento da Alta Corte Federal:</w:t>
      </w:r>
    </w:p>
    <w:p w14:paraId="534334B5" w14:textId="77777777" w:rsidR="00A47F30" w:rsidRPr="00A47F30" w:rsidRDefault="00A47F30" w:rsidP="00261E1C">
      <w:pPr>
        <w:pStyle w:val="BodyText"/>
        <w:ind w:firstLine="709"/>
      </w:pPr>
    </w:p>
    <w:p w14:paraId="133D11F8" w14:textId="6031F6D9" w:rsidR="00261E1C" w:rsidRPr="00E92B39" w:rsidRDefault="00261E1C" w:rsidP="00E92B39">
      <w:pPr>
        <w:pStyle w:val="BodyText"/>
        <w:ind w:left="2836"/>
        <w:jc w:val="both"/>
        <w:rPr>
          <w:sz w:val="20"/>
          <w:szCs w:val="20"/>
        </w:rPr>
      </w:pPr>
      <w:r w:rsidRPr="00A47F30">
        <w:rPr>
          <w:sz w:val="20"/>
          <w:szCs w:val="20"/>
        </w:rPr>
        <w:t>“(...) O entendimento contido na decisão ora agravada, encontra-se em perfeita consonância com a jurisprudência firmada nesta Corte Superior de Justiça, no sentido de que</w:t>
      </w:r>
      <w:r w:rsidRPr="000203C2">
        <w:rPr>
          <w:b/>
          <w:sz w:val="20"/>
          <w:szCs w:val="20"/>
        </w:rPr>
        <w:t xml:space="preserve"> a correção monetária de débitos judiciais deve seguir a orientação da Lei </w:t>
      </w:r>
      <w:hyperlink r:id="rId12">
        <w:r w:rsidRPr="000203C2">
          <w:rPr>
            <w:rStyle w:val="InternetLink"/>
            <w:b/>
            <w:color w:val="auto"/>
            <w:sz w:val="20"/>
            <w:szCs w:val="20"/>
          </w:rPr>
          <w:t>6.899</w:t>
        </w:r>
      </w:hyperlink>
      <w:r w:rsidRPr="000203C2">
        <w:rPr>
          <w:b/>
          <w:sz w:val="20"/>
          <w:szCs w:val="20"/>
        </w:rPr>
        <w:t xml:space="preserve">/81 </w:t>
      </w:r>
      <w:r w:rsidRPr="00A47F30">
        <w:rPr>
          <w:sz w:val="20"/>
          <w:szCs w:val="20"/>
        </w:rPr>
        <w:t xml:space="preserve">e não os índices da caderneta de poupança. (...)(STJ – </w:t>
      </w:r>
      <w:proofErr w:type="spellStart"/>
      <w:r w:rsidRPr="00A47F30">
        <w:rPr>
          <w:sz w:val="20"/>
          <w:szCs w:val="20"/>
        </w:rPr>
        <w:t>AgRg</w:t>
      </w:r>
      <w:proofErr w:type="spellEnd"/>
      <w:r w:rsidRPr="00A47F30">
        <w:rPr>
          <w:sz w:val="20"/>
          <w:szCs w:val="20"/>
        </w:rPr>
        <w:t xml:space="preserve"> no Ag n.º 987.357/RS – 4ª Turma – Rel. Min. CARLOS FERNANDO MATHIAS, Desembargador convocado do TRF 1ª Região, </w:t>
      </w:r>
      <w:proofErr w:type="spellStart"/>
      <w:r w:rsidRPr="00A47F30">
        <w:rPr>
          <w:sz w:val="20"/>
          <w:szCs w:val="20"/>
        </w:rPr>
        <w:t>DJe</w:t>
      </w:r>
      <w:proofErr w:type="spellEnd"/>
      <w:r w:rsidRPr="00A47F30">
        <w:rPr>
          <w:sz w:val="20"/>
          <w:szCs w:val="20"/>
        </w:rPr>
        <w:t xml:space="preserve"> de 10/11/2008)</w:t>
      </w:r>
    </w:p>
    <w:p w14:paraId="6798FDC8" w14:textId="734CC755" w:rsidR="0059737A" w:rsidRDefault="009A33A3" w:rsidP="0059737A">
      <w:pPr>
        <w:pStyle w:val="BodyText"/>
        <w:spacing w:line="360" w:lineRule="auto"/>
        <w:ind w:firstLine="709"/>
        <w:jc w:val="both"/>
      </w:pPr>
      <w:r>
        <w:t>Dessa forma, por</w:t>
      </w:r>
      <w:r w:rsidR="00261E1C" w:rsidRPr="00C87311">
        <w:t xml:space="preserve"> se tratar de um débito judicial, </w:t>
      </w:r>
      <w:r w:rsidR="00983D7C">
        <w:t>segue o que a Lei 6.899/81 disciplina:</w:t>
      </w:r>
    </w:p>
    <w:p w14:paraId="4D9514B5" w14:textId="77777777" w:rsidR="00436D4F" w:rsidRPr="00436D4F" w:rsidRDefault="00436D4F" w:rsidP="009E6429">
      <w:pPr>
        <w:shd w:val="clear" w:color="auto" w:fill="FFFFFF"/>
        <w:suppressAutoHyphens w:val="0"/>
        <w:ind w:left="2836"/>
        <w:jc w:val="both"/>
        <w:rPr>
          <w:rFonts w:eastAsia="SimSun"/>
          <w:color w:val="000000"/>
          <w:kern w:val="0"/>
          <w:sz w:val="20"/>
          <w:szCs w:val="20"/>
          <w:lang w:eastAsia="en-US"/>
        </w:rPr>
      </w:pPr>
      <w:proofErr w:type="spellStart"/>
      <w:r w:rsidRPr="00436D4F">
        <w:rPr>
          <w:rFonts w:eastAsia="SimSun"/>
          <w:color w:val="000000"/>
          <w:kern w:val="0"/>
          <w:sz w:val="20"/>
          <w:szCs w:val="20"/>
          <w:lang w:eastAsia="en-US"/>
        </w:rPr>
        <w:t>Art</w:t>
      </w:r>
      <w:proofErr w:type="spellEnd"/>
      <w:r w:rsidRPr="00436D4F">
        <w:rPr>
          <w:rFonts w:eastAsia="SimSun"/>
          <w:color w:val="000000"/>
          <w:kern w:val="0"/>
          <w:sz w:val="20"/>
          <w:szCs w:val="20"/>
          <w:lang w:eastAsia="en-US"/>
        </w:rPr>
        <w:t xml:space="preserve"> 1º - </w:t>
      </w:r>
      <w:r w:rsidRPr="00436D4F">
        <w:rPr>
          <w:rFonts w:eastAsia="SimSun"/>
          <w:b/>
          <w:color w:val="000000"/>
          <w:kern w:val="0"/>
          <w:sz w:val="20"/>
          <w:szCs w:val="20"/>
          <w:lang w:eastAsia="en-US"/>
        </w:rPr>
        <w:t>A correção monetária incide sobre qualquer débito resultante de decisão judicial</w:t>
      </w:r>
      <w:r w:rsidRPr="00436D4F">
        <w:rPr>
          <w:rFonts w:eastAsia="SimSun"/>
          <w:color w:val="000000"/>
          <w:kern w:val="0"/>
          <w:sz w:val="20"/>
          <w:szCs w:val="20"/>
          <w:lang w:eastAsia="en-US"/>
        </w:rPr>
        <w:t>, inclusive sobre custas e honorários advocatícios.</w:t>
      </w:r>
    </w:p>
    <w:p w14:paraId="6B484B61" w14:textId="77777777" w:rsidR="00436D4F" w:rsidRPr="00436D4F" w:rsidRDefault="00436D4F" w:rsidP="009E6429">
      <w:pPr>
        <w:shd w:val="clear" w:color="auto" w:fill="FFFFFF"/>
        <w:suppressAutoHyphens w:val="0"/>
        <w:ind w:left="2836"/>
        <w:jc w:val="both"/>
        <w:rPr>
          <w:rFonts w:eastAsia="SimSun"/>
          <w:color w:val="000000"/>
          <w:kern w:val="0"/>
          <w:sz w:val="20"/>
          <w:szCs w:val="20"/>
          <w:lang w:eastAsia="en-US"/>
        </w:rPr>
      </w:pPr>
      <w:r w:rsidRPr="00436D4F">
        <w:rPr>
          <w:rFonts w:eastAsia="SimSun"/>
          <w:color w:val="000000"/>
          <w:kern w:val="0"/>
          <w:sz w:val="20"/>
          <w:szCs w:val="20"/>
          <w:lang w:eastAsia="en-US"/>
        </w:rPr>
        <w:t>§ 1º - Nas execuções de títulos de dívida líquida e certa,</w:t>
      </w:r>
      <w:r w:rsidRPr="00436D4F">
        <w:rPr>
          <w:rFonts w:eastAsia="SimSun"/>
          <w:b/>
          <w:color w:val="000000"/>
          <w:kern w:val="0"/>
          <w:sz w:val="20"/>
          <w:szCs w:val="20"/>
          <w:lang w:eastAsia="en-US"/>
        </w:rPr>
        <w:t xml:space="preserve"> a correção será calculada a contar do respectivo vencimento</w:t>
      </w:r>
      <w:r w:rsidRPr="00436D4F">
        <w:rPr>
          <w:rFonts w:eastAsia="SimSun"/>
          <w:color w:val="000000"/>
          <w:kern w:val="0"/>
          <w:sz w:val="20"/>
          <w:szCs w:val="20"/>
          <w:lang w:eastAsia="en-US"/>
        </w:rPr>
        <w:t>.</w:t>
      </w:r>
    </w:p>
    <w:p w14:paraId="4F80AA18" w14:textId="77777777" w:rsidR="00436D4F" w:rsidRDefault="00436D4F" w:rsidP="009E6429">
      <w:pPr>
        <w:shd w:val="clear" w:color="auto" w:fill="FFFFFF"/>
        <w:suppressAutoHyphens w:val="0"/>
        <w:ind w:left="2836"/>
        <w:jc w:val="both"/>
        <w:rPr>
          <w:rFonts w:eastAsia="SimSun"/>
          <w:color w:val="000000"/>
          <w:kern w:val="0"/>
          <w:sz w:val="20"/>
          <w:szCs w:val="20"/>
          <w:lang w:eastAsia="en-US"/>
        </w:rPr>
      </w:pPr>
      <w:r w:rsidRPr="00436D4F">
        <w:rPr>
          <w:rFonts w:eastAsia="SimSun"/>
          <w:color w:val="000000"/>
          <w:kern w:val="0"/>
          <w:sz w:val="20"/>
          <w:szCs w:val="20"/>
          <w:lang w:eastAsia="en-US"/>
        </w:rPr>
        <w:t>§ 2º - Nos demais casos, o cálculo far-se-á a partir do ajuizamento da ação.</w:t>
      </w:r>
    </w:p>
    <w:p w14:paraId="7B5057E1" w14:textId="77777777" w:rsidR="009A33A3" w:rsidRDefault="009A33A3" w:rsidP="009E6429">
      <w:pPr>
        <w:shd w:val="clear" w:color="auto" w:fill="FFFFFF"/>
        <w:suppressAutoHyphens w:val="0"/>
        <w:ind w:left="2836"/>
        <w:jc w:val="both"/>
        <w:rPr>
          <w:rFonts w:eastAsia="SimSun"/>
          <w:color w:val="000000"/>
          <w:kern w:val="0"/>
          <w:sz w:val="20"/>
          <w:szCs w:val="20"/>
          <w:lang w:eastAsia="en-US"/>
        </w:rPr>
      </w:pPr>
    </w:p>
    <w:p w14:paraId="5448477A" w14:textId="3CFE18AB" w:rsidR="009A33A3" w:rsidRPr="004F61A6" w:rsidRDefault="009A33A3" w:rsidP="009A33A3">
      <w:pPr>
        <w:shd w:val="clear" w:color="auto" w:fill="FFFFFF"/>
        <w:suppressAutoHyphens w:val="0"/>
        <w:spacing w:line="360" w:lineRule="auto"/>
        <w:ind w:firstLine="709"/>
        <w:jc w:val="both"/>
        <w:rPr>
          <w:rFonts w:eastAsia="SimSun"/>
          <w:b/>
          <w:color w:val="000000"/>
          <w:kern w:val="0"/>
          <w:lang w:eastAsia="en-US"/>
        </w:rPr>
      </w:pPr>
      <w:r w:rsidRPr="004F61A6">
        <w:rPr>
          <w:rFonts w:eastAsia="SimSun"/>
          <w:b/>
          <w:color w:val="000000"/>
          <w:kern w:val="0"/>
          <w:lang w:eastAsia="en-US"/>
        </w:rPr>
        <w:t xml:space="preserve">Assim, considerando o exposto e ainda o Provimento Conjunto N 06/2009 do Tribunal de Justiça do Estado do Piauí que determina a aplicação, no âmbito do Poder Judiciário do Estado, a tabela de correção monetária da justiça federal, faz-se os cálculos </w:t>
      </w:r>
      <w:r w:rsidR="004F61A6" w:rsidRPr="004F61A6">
        <w:rPr>
          <w:rFonts w:eastAsia="SimSun"/>
          <w:b/>
          <w:color w:val="000000"/>
          <w:kern w:val="0"/>
          <w:lang w:eastAsia="en-US"/>
        </w:rPr>
        <w:t>pela referida tabela.</w:t>
      </w:r>
    </w:p>
    <w:p w14:paraId="4D15A95C" w14:textId="77777777" w:rsidR="00261E1C" w:rsidRPr="001479FB" w:rsidRDefault="00261E1C" w:rsidP="009E6429">
      <w:pPr>
        <w:pStyle w:val="BodyText"/>
        <w:spacing w:line="360" w:lineRule="auto"/>
        <w:jc w:val="both"/>
        <w:rPr>
          <w:color w:val="0000FF"/>
        </w:rPr>
      </w:pPr>
    </w:p>
    <w:p w14:paraId="530F130D" w14:textId="77777777" w:rsidR="00261E1C" w:rsidRPr="00300417" w:rsidRDefault="00261E1C" w:rsidP="00261E1C">
      <w:pPr>
        <w:pStyle w:val="BodyText"/>
        <w:rPr>
          <w:b/>
          <w:u w:val="single"/>
        </w:rPr>
      </w:pPr>
      <w:r w:rsidRPr="00300417">
        <w:rPr>
          <w:b/>
          <w:u w:val="single"/>
        </w:rPr>
        <w:t>4.2 - DO TERMO INICIAL DA MORA</w:t>
      </w:r>
    </w:p>
    <w:p w14:paraId="10827EEB" w14:textId="77777777" w:rsidR="00FB6053" w:rsidRDefault="00FB6053" w:rsidP="00FB6053">
      <w:pPr>
        <w:pStyle w:val="BodyText"/>
        <w:spacing w:line="360" w:lineRule="auto"/>
        <w:ind w:firstLine="709"/>
        <w:jc w:val="both"/>
        <w:rPr>
          <w:b/>
          <w:color w:val="FF0000"/>
          <w:u w:val="single"/>
        </w:rPr>
      </w:pPr>
    </w:p>
    <w:p w14:paraId="72CF51EF" w14:textId="0A699B96" w:rsidR="007110EE" w:rsidRPr="000B0A2F" w:rsidRDefault="00261E1C" w:rsidP="00FB6053">
      <w:pPr>
        <w:pStyle w:val="BodyText"/>
        <w:spacing w:line="360" w:lineRule="auto"/>
        <w:ind w:firstLine="709"/>
        <w:jc w:val="both"/>
      </w:pPr>
      <w:r w:rsidRPr="00573F82">
        <w:t xml:space="preserve">A incidência dos juros moratórios emerge de previsão legal e, em não havendo regulação contratual ou previsão casuística diversa quanto ao termo inicial da sua incidência, consoante sucede com a condenação originária de sentença proferida em sede de ação coletiva, </w:t>
      </w:r>
      <w:r w:rsidR="00FB6053">
        <w:t>flui a partir da publicação da sentença.</w:t>
      </w:r>
      <w:r w:rsidRPr="00573F82">
        <w:t xml:space="preserve"> </w:t>
      </w:r>
    </w:p>
    <w:p w14:paraId="168729B9" w14:textId="4FC9280B" w:rsidR="007110EE" w:rsidRDefault="007110EE" w:rsidP="007110EE">
      <w:pPr>
        <w:shd w:val="clear" w:color="auto" w:fill="FFFFFF"/>
        <w:suppressAutoHyphens w:val="0"/>
        <w:spacing w:before="100" w:beforeAutospacing="1" w:after="100" w:afterAutospacing="1"/>
        <w:ind w:left="2836"/>
        <w:jc w:val="both"/>
        <w:rPr>
          <w:rFonts w:eastAsia="SimSun"/>
          <w:color w:val="000000"/>
          <w:kern w:val="0"/>
          <w:sz w:val="20"/>
          <w:szCs w:val="20"/>
          <w:lang w:eastAsia="en-US"/>
        </w:rPr>
      </w:pPr>
      <w:r w:rsidRPr="00FB6053">
        <w:rPr>
          <w:rFonts w:eastAsia="SimSun"/>
          <w:kern w:val="0"/>
          <w:sz w:val="20"/>
          <w:szCs w:val="20"/>
          <w:lang w:eastAsia="en-US"/>
        </w:rPr>
        <w:t xml:space="preserve">Art. 406. Quando os juros moratórios </w:t>
      </w:r>
      <w:r w:rsidRPr="00701428">
        <w:rPr>
          <w:rFonts w:eastAsia="SimSun"/>
          <w:b/>
          <w:kern w:val="0"/>
          <w:sz w:val="20"/>
          <w:szCs w:val="20"/>
          <w:lang w:eastAsia="en-US"/>
        </w:rPr>
        <w:t>não forem convencionados</w:t>
      </w:r>
      <w:r w:rsidRPr="00FB6053">
        <w:rPr>
          <w:rFonts w:eastAsia="SimSun"/>
          <w:kern w:val="0"/>
          <w:sz w:val="20"/>
          <w:szCs w:val="20"/>
          <w:lang w:eastAsia="en-US"/>
        </w:rPr>
        <w:t xml:space="preserve">, ou o forem sem taxa estipulada, ou quando provierem de determinação da lei, </w:t>
      </w:r>
      <w:r w:rsidRPr="00FB6053">
        <w:rPr>
          <w:rFonts w:eastAsia="SimSun"/>
          <w:b/>
          <w:kern w:val="0"/>
          <w:sz w:val="20"/>
          <w:szCs w:val="20"/>
          <w:lang w:eastAsia="en-US"/>
        </w:rPr>
        <w:t>serão fixados segundo a taxa que estiver em vigor para a mora do pagamento de impostos devidos à Fazenda</w:t>
      </w:r>
      <w:r w:rsidRPr="00C87311">
        <w:rPr>
          <w:rFonts w:eastAsia="SimSun"/>
          <w:b/>
          <w:color w:val="000000"/>
          <w:kern w:val="0"/>
          <w:sz w:val="20"/>
          <w:szCs w:val="20"/>
          <w:lang w:eastAsia="en-US"/>
        </w:rPr>
        <w:t xml:space="preserve"> Nacional</w:t>
      </w:r>
      <w:r w:rsidRPr="007110EE">
        <w:rPr>
          <w:rFonts w:eastAsia="SimSun"/>
          <w:color w:val="000000"/>
          <w:kern w:val="0"/>
          <w:sz w:val="20"/>
          <w:szCs w:val="20"/>
          <w:lang w:eastAsia="en-US"/>
        </w:rPr>
        <w:t>.</w:t>
      </w:r>
    </w:p>
    <w:p w14:paraId="47A2B1AE" w14:textId="7C1B1F79" w:rsidR="00701428" w:rsidRPr="00701428" w:rsidRDefault="00701428" w:rsidP="00701428">
      <w:pPr>
        <w:pStyle w:val="BodyText"/>
        <w:spacing w:line="360" w:lineRule="auto"/>
        <w:ind w:firstLine="709"/>
        <w:jc w:val="both"/>
      </w:pPr>
      <w:r>
        <w:lastRenderedPageBreak/>
        <w:t>Assim, é certa a aplicação d</w:t>
      </w:r>
      <w:r w:rsidRPr="004070AA">
        <w:t xml:space="preserve">a taxa de 1,00% ao mês — linear simples, em remissão ao art. 406 do NCC c/c o art. </w:t>
      </w:r>
      <w:hyperlink r:id="rId13">
        <w:r w:rsidRPr="004070AA">
          <w:rPr>
            <w:rStyle w:val="InternetLink"/>
            <w:color w:val="auto"/>
            <w:u w:val="none"/>
          </w:rPr>
          <w:t>161</w:t>
        </w:r>
      </w:hyperlink>
      <w:r w:rsidRPr="004070AA">
        <w:t xml:space="preserve">, </w:t>
      </w:r>
      <w:hyperlink r:id="rId14">
        <w:r w:rsidRPr="004070AA">
          <w:rPr>
            <w:rStyle w:val="InternetLink"/>
            <w:color w:val="auto"/>
            <w:u w:val="none"/>
          </w:rPr>
          <w:t>§ 1º</w:t>
        </w:r>
      </w:hyperlink>
      <w:r w:rsidRPr="004070AA">
        <w:t xml:space="preserve">, do </w:t>
      </w:r>
      <w:hyperlink r:id="rId15">
        <w:r w:rsidRPr="004070AA">
          <w:rPr>
            <w:rStyle w:val="InternetLink"/>
            <w:color w:val="auto"/>
            <w:u w:val="none"/>
          </w:rPr>
          <w:t>CTN</w:t>
        </w:r>
      </w:hyperlink>
      <w:r w:rsidRPr="00FB6053">
        <w:t>,  desde a publicação da sentença,</w:t>
      </w:r>
      <w:r w:rsidRPr="00FB6053">
        <w:rPr>
          <w:b/>
        </w:rPr>
        <w:t xml:space="preserve"> </w:t>
      </w:r>
      <w:r>
        <w:t>veja:</w:t>
      </w:r>
    </w:p>
    <w:p w14:paraId="54866B9D" w14:textId="77777777" w:rsidR="007110EE" w:rsidRDefault="007110EE" w:rsidP="007110EE">
      <w:pPr>
        <w:shd w:val="clear" w:color="auto" w:fill="FFFFFF"/>
        <w:suppressAutoHyphens w:val="0"/>
        <w:ind w:left="2835"/>
        <w:jc w:val="both"/>
        <w:rPr>
          <w:rFonts w:eastAsia="SimSun"/>
          <w:color w:val="000000"/>
          <w:kern w:val="0"/>
          <w:sz w:val="20"/>
          <w:szCs w:val="20"/>
          <w:lang w:eastAsia="en-US"/>
        </w:rPr>
      </w:pPr>
      <w:r w:rsidRPr="007110EE">
        <w:rPr>
          <w:rFonts w:eastAsia="SimSun"/>
          <w:color w:val="000000"/>
          <w:kern w:val="0"/>
          <w:sz w:val="20"/>
          <w:szCs w:val="20"/>
          <w:lang w:eastAsia="en-US"/>
        </w:rPr>
        <w:t>Art. 161. O crédito não integralmente pago no vencimento é acrescido de juros de mora, seja qual for o motivo determinante da falta, sem prejuízo da imposição das penalidades cabíveis e da aplicação de quaisquer medidas de garantia previstas nesta Lei ou em lei tributária.</w:t>
      </w:r>
    </w:p>
    <w:p w14:paraId="6B05ED27" w14:textId="77777777" w:rsidR="00486AF0" w:rsidRPr="007110EE" w:rsidRDefault="00486AF0" w:rsidP="007110EE">
      <w:pPr>
        <w:shd w:val="clear" w:color="auto" w:fill="FFFFFF"/>
        <w:suppressAutoHyphens w:val="0"/>
        <w:ind w:left="2835"/>
        <w:jc w:val="both"/>
        <w:rPr>
          <w:rFonts w:eastAsia="SimSun"/>
          <w:color w:val="000000"/>
          <w:kern w:val="0"/>
          <w:sz w:val="20"/>
          <w:szCs w:val="20"/>
          <w:lang w:eastAsia="en-US"/>
        </w:rPr>
      </w:pPr>
    </w:p>
    <w:p w14:paraId="5A586743" w14:textId="2519D4D0" w:rsidR="007110EE" w:rsidRPr="00C87311" w:rsidRDefault="007110EE" w:rsidP="00486AF0">
      <w:pPr>
        <w:shd w:val="clear" w:color="auto" w:fill="FFFFFF"/>
        <w:suppressAutoHyphens w:val="0"/>
        <w:ind w:left="2835"/>
        <w:jc w:val="both"/>
        <w:rPr>
          <w:rFonts w:eastAsia="SimSun"/>
          <w:b/>
          <w:color w:val="000000"/>
          <w:kern w:val="0"/>
          <w:sz w:val="20"/>
          <w:szCs w:val="20"/>
          <w:lang w:eastAsia="en-US"/>
        </w:rPr>
      </w:pPr>
      <w:bookmarkStart w:id="0" w:name="art161§1"/>
      <w:bookmarkEnd w:id="0"/>
      <w:r w:rsidRPr="007110EE">
        <w:rPr>
          <w:rFonts w:eastAsia="SimSun"/>
          <w:color w:val="000000"/>
          <w:kern w:val="0"/>
          <w:sz w:val="20"/>
          <w:szCs w:val="20"/>
          <w:lang w:eastAsia="en-US"/>
        </w:rPr>
        <w:t xml:space="preserve">§ 1º Se a lei não dispuser de modo diverso, </w:t>
      </w:r>
      <w:r w:rsidRPr="00C87311">
        <w:rPr>
          <w:rFonts w:eastAsia="SimSun"/>
          <w:b/>
          <w:color w:val="000000"/>
          <w:kern w:val="0"/>
          <w:sz w:val="20"/>
          <w:szCs w:val="20"/>
          <w:lang w:eastAsia="en-US"/>
        </w:rPr>
        <w:t>os juros de mora são calculados à taxa de um por cento ao mês.</w:t>
      </w:r>
    </w:p>
    <w:p w14:paraId="15647FA0" w14:textId="77777777" w:rsidR="002D3311" w:rsidRPr="00B70472" w:rsidRDefault="002D3311" w:rsidP="002D3311">
      <w:pPr>
        <w:spacing w:line="360" w:lineRule="auto"/>
        <w:jc w:val="both"/>
        <w:rPr>
          <w:color w:val="0000FF"/>
          <w:highlight w:val="yellow"/>
        </w:rPr>
      </w:pPr>
      <w:bookmarkStart w:id="1" w:name="c407"/>
      <w:bookmarkEnd w:id="1"/>
    </w:p>
    <w:tbl>
      <w:tblPr>
        <w:tblW w:w="85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40"/>
      </w:tblGrid>
      <w:tr w:rsidR="002D3311" w:rsidRPr="00B70472" w14:paraId="2BE5C68B" w14:textId="77777777" w:rsidTr="002D3311">
        <w:trPr>
          <w:trHeight w:val="241"/>
        </w:trPr>
        <w:tc>
          <w:tcPr>
            <w:tcW w:w="8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0EBE0" w14:textId="6EF09D21" w:rsidR="002D3311" w:rsidRPr="005F7D02" w:rsidRDefault="0059737A" w:rsidP="002D3311">
            <w:pPr>
              <w:pStyle w:val="Header"/>
              <w:widowControl w:val="0"/>
              <w:spacing w:before="0" w:after="0" w:line="360" w:lineRule="auto"/>
              <w:ind w:left="102" w:right="49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D3311" w:rsidRPr="005F7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2D3311" w:rsidRPr="005F7D02">
              <w:rPr>
                <w:rFonts w:ascii="Times New Roman" w:hAnsi="Times New Roman" w:cs="Times New Roman"/>
                <w:b/>
                <w:sz w:val="24"/>
                <w:szCs w:val="24"/>
              </w:rPr>
              <w:t>DO PEDIDO</w:t>
            </w:r>
          </w:p>
        </w:tc>
      </w:tr>
    </w:tbl>
    <w:p w14:paraId="20448010" w14:textId="77777777" w:rsidR="002D3311" w:rsidRPr="00B70472" w:rsidRDefault="002D3311">
      <w:pPr>
        <w:pStyle w:val="BodyText"/>
        <w:spacing w:after="0" w:line="360" w:lineRule="auto"/>
        <w:rPr>
          <w:color w:val="0000FF"/>
          <w:highlight w:val="red"/>
        </w:rPr>
      </w:pPr>
    </w:p>
    <w:p w14:paraId="06E71948" w14:textId="52A379F9" w:rsidR="0068753E" w:rsidRPr="00DD0A75" w:rsidRDefault="002D3311" w:rsidP="002D3311">
      <w:pPr>
        <w:pStyle w:val="BodyText"/>
        <w:spacing w:after="0" w:line="360" w:lineRule="auto"/>
        <w:ind w:firstLine="709"/>
        <w:jc w:val="both"/>
        <w:rPr>
          <w:lang w:bidi="uz-Cyrl-UZ"/>
        </w:rPr>
      </w:pPr>
      <w:r w:rsidRPr="00DD0A75">
        <w:rPr>
          <w:lang w:bidi="uz-Cyrl-UZ"/>
        </w:rPr>
        <w:t xml:space="preserve">Diante do </w:t>
      </w:r>
      <w:r w:rsidRPr="00DD0A75">
        <w:rPr>
          <w:b/>
          <w:lang w:bidi="uz-Cyrl-UZ"/>
        </w:rPr>
        <w:t>EXPOSTO</w:t>
      </w:r>
      <w:r w:rsidRPr="00DD0A75">
        <w:rPr>
          <w:lang w:bidi="uz-Cyrl-UZ"/>
        </w:rPr>
        <w:t>,</w:t>
      </w:r>
      <w:r w:rsidRPr="00DD0A75">
        <w:rPr>
          <w:rFonts w:eastAsia="Bookman old;MS PMincho"/>
          <w:lang w:bidi="uz-Cyrl-UZ"/>
        </w:rPr>
        <w:t xml:space="preserve"> </w:t>
      </w:r>
      <w:r w:rsidRPr="00DD0A75">
        <w:rPr>
          <w:lang w:bidi="uz-Cyrl-UZ"/>
        </w:rPr>
        <w:t>requer-se:</w:t>
      </w:r>
    </w:p>
    <w:p w14:paraId="5B3A9F74" w14:textId="3D02C9FA" w:rsidR="000226EC" w:rsidRPr="00DD0A75" w:rsidRDefault="000226EC" w:rsidP="000226EC">
      <w:pPr>
        <w:pStyle w:val="BodyText"/>
        <w:numPr>
          <w:ilvl w:val="0"/>
          <w:numId w:val="4"/>
        </w:numPr>
        <w:spacing w:after="0" w:line="360" w:lineRule="auto"/>
        <w:jc w:val="both"/>
      </w:pPr>
      <w:r w:rsidRPr="00DD0A75">
        <w:t>Seja recebida a presente petição de cumprimento de sentença, determinando-lhe, V. Exa., o respectivo processamento;</w:t>
      </w:r>
    </w:p>
    <w:p w14:paraId="388E1EE9" w14:textId="2B23D418" w:rsidR="005F6886" w:rsidRPr="00FB6053" w:rsidRDefault="005F6886" w:rsidP="00837F4C">
      <w:pPr>
        <w:pStyle w:val="BodyText"/>
        <w:numPr>
          <w:ilvl w:val="0"/>
          <w:numId w:val="4"/>
        </w:numPr>
        <w:spacing w:after="0" w:line="360" w:lineRule="auto"/>
        <w:jc w:val="both"/>
        <w:rPr>
          <w:lang w:bidi="uz-Cyrl-UZ"/>
        </w:rPr>
      </w:pPr>
      <w:r w:rsidRPr="00DD0A75">
        <w:rPr>
          <w:lang w:bidi="uz-Cyrl-UZ"/>
        </w:rPr>
        <w:t xml:space="preserve">Seja realizada </w:t>
      </w:r>
      <w:r w:rsidR="002D3311" w:rsidRPr="00DD0A75">
        <w:rPr>
          <w:lang w:bidi="uz-Cyrl-UZ"/>
        </w:rPr>
        <w:t>intimação dos executados</w:t>
      </w:r>
      <w:r w:rsidR="0012411F">
        <w:rPr>
          <w:lang w:bidi="uz-Cyrl-UZ"/>
        </w:rPr>
        <w:t xml:space="preserve"> para se proceda o cumprimento de sentença</w:t>
      </w:r>
      <w:r w:rsidR="002D3311" w:rsidRPr="00DD0A75">
        <w:rPr>
          <w:lang w:bidi="uz-Cyrl-UZ"/>
        </w:rPr>
        <w:t>, por meio de carta com aviso de recebimento encaminhada ao endereço constante dos autos,</w:t>
      </w:r>
      <w:r w:rsidR="000C3B41" w:rsidRPr="00DD0A75">
        <w:rPr>
          <w:lang w:bidi="uz-Cyrl-UZ"/>
        </w:rPr>
        <w:t xml:space="preserve"> uma vez que a r. sentença</w:t>
      </w:r>
      <w:r w:rsidRPr="00DD0A75">
        <w:rPr>
          <w:lang w:bidi="uz-Cyrl-UZ"/>
        </w:rPr>
        <w:t xml:space="preserve"> transitou em julgado há mais de 1 ano,</w:t>
      </w:r>
      <w:r w:rsidR="002D3311" w:rsidRPr="00DD0A75">
        <w:rPr>
          <w:lang w:bidi="uz-Cyrl-UZ"/>
        </w:rPr>
        <w:t xml:space="preserve"> </w:t>
      </w:r>
      <w:r w:rsidR="000C3B41" w:rsidRPr="00DD0A75">
        <w:rPr>
          <w:lang w:bidi="uz-Cyrl-UZ"/>
        </w:rPr>
        <w:t xml:space="preserve">conforme a forma prevista no </w:t>
      </w:r>
      <w:r w:rsidR="002D3311" w:rsidRPr="00DD0A75">
        <w:rPr>
          <w:lang w:bidi="uz-Cyrl-UZ"/>
        </w:rPr>
        <w:t xml:space="preserve">§ 4º do art.. 513, do Novo Código de Processo Cível, observando para tanto, o </w:t>
      </w:r>
      <w:r w:rsidR="002D3311" w:rsidRPr="00FB6053">
        <w:rPr>
          <w:lang w:bidi="uz-Cyrl-UZ"/>
        </w:rPr>
        <w:t xml:space="preserve">disposto no parágrafo único do art. </w:t>
      </w:r>
      <w:r w:rsidR="00530BD7">
        <w:rPr>
          <w:lang w:bidi="uz-Cyrl-UZ"/>
        </w:rPr>
        <w:t>274 e no § 3º do citado artigo, concernente no pagamento de:</w:t>
      </w:r>
    </w:p>
    <w:p w14:paraId="734EDFC5" w14:textId="2934DD64" w:rsidR="0001111F" w:rsidRPr="0059737A" w:rsidRDefault="0012411F" w:rsidP="0059737A">
      <w:pPr>
        <w:pStyle w:val="ListParagraph"/>
        <w:spacing w:line="360" w:lineRule="auto"/>
        <w:ind w:left="1418"/>
        <w:jc w:val="both"/>
        <w:rPr>
          <w:bCs/>
          <w:lang w:eastAsia="uz-Cyrl-UZ" w:bidi="uz-Cyrl-UZ"/>
        </w:rPr>
      </w:pPr>
      <w:r w:rsidRPr="0059737A">
        <w:rPr>
          <w:b/>
          <w:bCs/>
          <w:lang w:eastAsia="uz-Cyrl-UZ" w:bidi="uz-Cyrl-UZ"/>
        </w:rPr>
        <w:t xml:space="preserve">b.1) </w:t>
      </w:r>
      <w:r w:rsidR="00B83E0F" w:rsidRPr="0059737A">
        <w:rPr>
          <w:b/>
          <w:bCs/>
          <w:lang w:eastAsia="uz-Cyrl-UZ" w:bidi="uz-Cyrl-UZ"/>
        </w:rPr>
        <w:t>EQUAT</w:t>
      </w:r>
      <w:r w:rsidR="00FB6053" w:rsidRPr="0059737A">
        <w:rPr>
          <w:b/>
          <w:bCs/>
          <w:lang w:eastAsia="uz-Cyrl-UZ" w:bidi="uz-Cyrl-UZ"/>
        </w:rPr>
        <w:t>ORIAL PREVIDÊNCIA COMPLEMENTAR,</w:t>
      </w:r>
      <w:r w:rsidR="0001111F" w:rsidRPr="0059737A">
        <w:rPr>
          <w:b/>
          <w:bCs/>
          <w:lang w:eastAsia="uz-Cyrl-UZ" w:bidi="uz-Cyrl-UZ"/>
        </w:rPr>
        <w:t xml:space="preserve"> no valor de R$</w:t>
      </w:r>
      <w:r w:rsidR="0059737A" w:rsidRPr="0059737A">
        <w:rPr>
          <w:b/>
          <w:bCs/>
          <w:lang w:eastAsia="uz-Cyrl-UZ" w:bidi="uz-Cyrl-UZ"/>
        </w:rPr>
        <w:t xml:space="preserve"> 152.542,63 (cento e cinquenta e dois mil, quinhentos e quarenta e dois reais e sessenta e três centavos)</w:t>
      </w:r>
      <w:r w:rsidR="0001111F" w:rsidRPr="0059737A">
        <w:rPr>
          <w:b/>
          <w:bCs/>
          <w:lang w:eastAsia="uz-Cyrl-UZ" w:bidi="uz-Cyrl-UZ"/>
        </w:rPr>
        <w:t>,</w:t>
      </w:r>
      <w:r w:rsidR="00FB6053" w:rsidRPr="0059737A">
        <w:rPr>
          <w:b/>
          <w:bCs/>
          <w:lang w:eastAsia="uz-Cyrl-UZ" w:bidi="uz-Cyrl-UZ"/>
        </w:rPr>
        <w:t xml:space="preserve"> </w:t>
      </w:r>
      <w:r w:rsidR="00FB6053" w:rsidRPr="0059737A">
        <w:rPr>
          <w:bCs/>
          <w:lang w:eastAsia="uz-Cyrl-UZ" w:bidi="uz-Cyrl-UZ"/>
        </w:rPr>
        <w:t>conforme DOC. 09</w:t>
      </w:r>
      <w:r w:rsidR="0059737A">
        <w:rPr>
          <w:bCs/>
          <w:lang w:eastAsia="uz-Cyrl-UZ" w:bidi="uz-Cyrl-UZ"/>
        </w:rPr>
        <w:t>;</w:t>
      </w:r>
    </w:p>
    <w:p w14:paraId="6FF6CC0E" w14:textId="52B5F2EA" w:rsidR="0001111F" w:rsidRPr="0059737A" w:rsidRDefault="0001111F" w:rsidP="0059737A">
      <w:pPr>
        <w:widowControl w:val="0"/>
        <w:suppressAutoHyphens w:val="0"/>
        <w:autoSpaceDE w:val="0"/>
        <w:autoSpaceDN w:val="0"/>
        <w:adjustRightInd w:val="0"/>
        <w:spacing w:line="360" w:lineRule="auto"/>
        <w:ind w:left="1418"/>
        <w:rPr>
          <w:rFonts w:eastAsia="SimSun"/>
          <w:kern w:val="0"/>
          <w:lang w:val="en-US"/>
        </w:rPr>
      </w:pPr>
      <w:r w:rsidRPr="0059737A">
        <w:rPr>
          <w:b/>
          <w:bCs/>
          <w:lang w:eastAsia="uz-Cyrl-UZ" w:bidi="uz-Cyrl-UZ"/>
        </w:rPr>
        <w:t xml:space="preserve">b.2) </w:t>
      </w:r>
      <w:r w:rsidR="00FB6053" w:rsidRPr="0059737A">
        <w:rPr>
          <w:b/>
          <w:bCs/>
          <w:lang w:eastAsia="uz-Cyrl-UZ" w:bidi="uz-Cyrl-UZ"/>
        </w:rPr>
        <w:t>FEDERAL DE SEGUROS S.A.,</w:t>
      </w:r>
      <w:r w:rsidRPr="0059737A">
        <w:rPr>
          <w:b/>
          <w:bCs/>
          <w:lang w:eastAsia="uz-Cyrl-UZ" w:bidi="uz-Cyrl-UZ"/>
        </w:rPr>
        <w:t xml:space="preserve"> no valor de R$</w:t>
      </w:r>
      <w:r w:rsidR="00FB6053" w:rsidRPr="0059737A">
        <w:rPr>
          <w:b/>
          <w:bCs/>
          <w:lang w:eastAsia="uz-Cyrl-UZ" w:bidi="uz-Cyrl-UZ"/>
        </w:rPr>
        <w:t xml:space="preserve"> </w:t>
      </w:r>
      <w:r w:rsidR="0059737A" w:rsidRPr="0059737A">
        <w:rPr>
          <w:rFonts w:eastAsia="SimSun"/>
          <w:b/>
          <w:bCs/>
          <w:kern w:val="0"/>
          <w:lang w:val="en-US"/>
        </w:rPr>
        <w:t xml:space="preserve">183.051,15 (cento e oitenta e três mil, cinquenta e um reais e quinze centavos), </w:t>
      </w:r>
      <w:r w:rsidR="004F7D9C" w:rsidRPr="0059737A">
        <w:rPr>
          <w:b/>
          <w:bCs/>
          <w:lang w:eastAsia="uz-Cyrl-UZ" w:bidi="uz-Cyrl-UZ"/>
        </w:rPr>
        <w:t xml:space="preserve"> </w:t>
      </w:r>
      <w:r w:rsidR="00FB6053" w:rsidRPr="0059737A">
        <w:rPr>
          <w:bCs/>
          <w:lang w:eastAsia="uz-Cyrl-UZ" w:bidi="uz-Cyrl-UZ"/>
        </w:rPr>
        <w:t>conforme DOC.10</w:t>
      </w:r>
      <w:r w:rsidR="0059737A">
        <w:rPr>
          <w:bCs/>
          <w:lang w:eastAsia="uz-Cyrl-UZ" w:bidi="uz-Cyrl-UZ"/>
        </w:rPr>
        <w:t>;</w:t>
      </w:r>
    </w:p>
    <w:p w14:paraId="2BDBB35D" w14:textId="13B6465C" w:rsidR="00813622" w:rsidRPr="002A797E" w:rsidRDefault="0001111F" w:rsidP="0059737A">
      <w:pPr>
        <w:pStyle w:val="ListParagraph"/>
        <w:spacing w:line="360" w:lineRule="auto"/>
        <w:ind w:left="1418"/>
        <w:jc w:val="both"/>
        <w:rPr>
          <w:b/>
          <w:bCs/>
          <w:color w:val="FF0000"/>
          <w:lang w:eastAsia="uz-Cyrl-UZ" w:bidi="uz-Cyrl-UZ"/>
        </w:rPr>
      </w:pPr>
      <w:r>
        <w:rPr>
          <w:b/>
          <w:bCs/>
          <w:lang w:eastAsia="uz-Cyrl-UZ" w:bidi="uz-Cyrl-UZ"/>
        </w:rPr>
        <w:lastRenderedPageBreak/>
        <w:t xml:space="preserve">b.3) </w:t>
      </w:r>
      <w:r w:rsidR="00B83E0F" w:rsidRPr="0001111F">
        <w:rPr>
          <w:b/>
          <w:bCs/>
          <w:lang w:eastAsia="uz-Cyrl-UZ" w:bidi="uz-Cyrl-UZ"/>
        </w:rPr>
        <w:t xml:space="preserve">UNIÃO BRASILEIRA DE ASSISTÊNCIA DOS SERVIDORES PÚBLICOS </w:t>
      </w:r>
      <w:r w:rsidR="007A5B61" w:rsidRPr="0001111F">
        <w:rPr>
          <w:b/>
          <w:bCs/>
          <w:lang w:eastAsia="uz-Cyrl-UZ" w:bidi="uz-Cyrl-UZ"/>
        </w:rPr>
        <w:t>–</w:t>
      </w:r>
      <w:r w:rsidR="00B83E0F" w:rsidRPr="0001111F">
        <w:rPr>
          <w:b/>
          <w:bCs/>
          <w:lang w:eastAsia="uz-Cyrl-UZ" w:bidi="uz-Cyrl-UZ"/>
        </w:rPr>
        <w:t xml:space="preserve"> UNIBRAS</w:t>
      </w:r>
      <w:r>
        <w:rPr>
          <w:b/>
          <w:bCs/>
          <w:lang w:eastAsia="uz-Cyrl-UZ" w:bidi="uz-Cyrl-UZ"/>
        </w:rPr>
        <w:t xml:space="preserve"> no </w:t>
      </w:r>
      <w:r w:rsidRPr="0059737A">
        <w:rPr>
          <w:b/>
          <w:bCs/>
          <w:lang w:eastAsia="uz-Cyrl-UZ" w:bidi="uz-Cyrl-UZ"/>
        </w:rPr>
        <w:t xml:space="preserve">valor de </w:t>
      </w:r>
      <w:r w:rsidR="0059737A" w:rsidRPr="0059737A">
        <w:rPr>
          <w:b/>
          <w:bCs/>
          <w:lang w:eastAsia="uz-Cyrl-UZ" w:bidi="uz-Cyrl-UZ"/>
        </w:rPr>
        <w:t xml:space="preserve">R$ </w:t>
      </w:r>
      <w:r w:rsidR="0059737A" w:rsidRPr="0059737A">
        <w:rPr>
          <w:rFonts w:eastAsia="SimSun"/>
          <w:b/>
          <w:bCs/>
          <w:kern w:val="0"/>
          <w:lang w:val="en-US"/>
        </w:rPr>
        <w:t xml:space="preserve">183.051,15 (cento e </w:t>
      </w:r>
      <w:proofErr w:type="spellStart"/>
      <w:r w:rsidR="0059737A" w:rsidRPr="0059737A">
        <w:rPr>
          <w:rFonts w:eastAsia="SimSun"/>
          <w:b/>
          <w:bCs/>
          <w:kern w:val="0"/>
          <w:lang w:val="en-US"/>
        </w:rPr>
        <w:t>oitenta</w:t>
      </w:r>
      <w:proofErr w:type="spellEnd"/>
      <w:r w:rsidR="0059737A" w:rsidRPr="0059737A">
        <w:rPr>
          <w:rFonts w:eastAsia="SimSun"/>
          <w:b/>
          <w:bCs/>
          <w:kern w:val="0"/>
          <w:lang w:val="en-US"/>
        </w:rPr>
        <w:t xml:space="preserve"> e </w:t>
      </w:r>
      <w:proofErr w:type="spellStart"/>
      <w:r w:rsidR="0059737A" w:rsidRPr="0059737A">
        <w:rPr>
          <w:rFonts w:eastAsia="SimSun"/>
          <w:b/>
          <w:bCs/>
          <w:kern w:val="0"/>
          <w:lang w:val="en-US"/>
        </w:rPr>
        <w:t>três</w:t>
      </w:r>
      <w:proofErr w:type="spellEnd"/>
      <w:r w:rsidR="0059737A" w:rsidRPr="0059737A">
        <w:rPr>
          <w:rFonts w:eastAsia="SimSun"/>
          <w:b/>
          <w:bCs/>
          <w:kern w:val="0"/>
          <w:lang w:val="en-US"/>
        </w:rPr>
        <w:t xml:space="preserve"> mil, </w:t>
      </w:r>
      <w:proofErr w:type="spellStart"/>
      <w:r w:rsidR="0059737A" w:rsidRPr="0059737A">
        <w:rPr>
          <w:rFonts w:eastAsia="SimSun"/>
          <w:b/>
          <w:bCs/>
          <w:kern w:val="0"/>
          <w:lang w:val="en-US"/>
        </w:rPr>
        <w:t>cinquenta</w:t>
      </w:r>
      <w:proofErr w:type="spellEnd"/>
      <w:r w:rsidR="0059737A" w:rsidRPr="0059737A">
        <w:rPr>
          <w:rFonts w:eastAsia="SimSun"/>
          <w:b/>
          <w:bCs/>
          <w:kern w:val="0"/>
          <w:lang w:val="en-US"/>
        </w:rPr>
        <w:t xml:space="preserve"> e um </w:t>
      </w:r>
      <w:proofErr w:type="spellStart"/>
      <w:r w:rsidR="0059737A" w:rsidRPr="0059737A">
        <w:rPr>
          <w:rFonts w:eastAsia="SimSun"/>
          <w:b/>
          <w:bCs/>
          <w:kern w:val="0"/>
          <w:lang w:val="en-US"/>
        </w:rPr>
        <w:t>reais</w:t>
      </w:r>
      <w:proofErr w:type="spellEnd"/>
      <w:r w:rsidR="0059737A" w:rsidRPr="0059737A">
        <w:rPr>
          <w:rFonts w:eastAsia="SimSun"/>
          <w:b/>
          <w:bCs/>
          <w:kern w:val="0"/>
          <w:lang w:val="en-US"/>
        </w:rPr>
        <w:t xml:space="preserve"> e </w:t>
      </w:r>
      <w:proofErr w:type="spellStart"/>
      <w:r w:rsidR="0059737A" w:rsidRPr="0059737A">
        <w:rPr>
          <w:rFonts w:eastAsia="SimSun"/>
          <w:b/>
          <w:bCs/>
          <w:kern w:val="0"/>
          <w:lang w:val="en-US"/>
        </w:rPr>
        <w:t>quinze</w:t>
      </w:r>
      <w:proofErr w:type="spellEnd"/>
      <w:r w:rsidR="0059737A" w:rsidRPr="0059737A">
        <w:rPr>
          <w:rFonts w:eastAsia="SimSun"/>
          <w:b/>
          <w:bCs/>
          <w:kern w:val="0"/>
          <w:lang w:val="en-US"/>
        </w:rPr>
        <w:t xml:space="preserve"> centavos)</w:t>
      </w:r>
      <w:r w:rsidR="004F7D9C" w:rsidRPr="0059737A">
        <w:rPr>
          <w:b/>
          <w:bCs/>
          <w:lang w:eastAsia="uz-Cyrl-UZ" w:bidi="uz-Cyrl-UZ"/>
        </w:rPr>
        <w:t>,</w:t>
      </w:r>
      <w:r w:rsidR="00FB6053" w:rsidRPr="0059737A">
        <w:rPr>
          <w:b/>
          <w:bCs/>
          <w:lang w:eastAsia="uz-Cyrl-UZ" w:bidi="uz-Cyrl-UZ"/>
        </w:rPr>
        <w:t xml:space="preserve"> </w:t>
      </w:r>
      <w:r w:rsidR="00FB6053" w:rsidRPr="0059737A">
        <w:rPr>
          <w:bCs/>
          <w:lang w:eastAsia="uz-Cyrl-UZ" w:bidi="uz-Cyrl-UZ"/>
        </w:rPr>
        <w:t>conforme DOC 11</w:t>
      </w:r>
      <w:r w:rsidR="0059737A">
        <w:rPr>
          <w:bCs/>
          <w:lang w:eastAsia="uz-Cyrl-UZ" w:bidi="uz-Cyrl-UZ"/>
        </w:rPr>
        <w:t>.</w:t>
      </w:r>
    </w:p>
    <w:p w14:paraId="17EF2CDE" w14:textId="12A72D9C" w:rsidR="0068753E" w:rsidRPr="004F7D9C" w:rsidRDefault="00B239B3" w:rsidP="00B239B3">
      <w:pPr>
        <w:pStyle w:val="BodyText"/>
        <w:numPr>
          <w:ilvl w:val="0"/>
          <w:numId w:val="4"/>
        </w:numPr>
        <w:spacing w:after="0" w:line="360" w:lineRule="auto"/>
        <w:jc w:val="both"/>
        <w:rPr>
          <w:rStyle w:val="StrongEmphasis"/>
          <w:b w:val="0"/>
          <w:bCs w:val="0"/>
          <w:lang w:bidi="uz-Cyrl-UZ"/>
        </w:rPr>
      </w:pPr>
      <w:r w:rsidRPr="004F7D9C">
        <w:rPr>
          <w:rStyle w:val="StrongEmphasis"/>
          <w:b w:val="0"/>
        </w:rPr>
        <w:t>c</w:t>
      </w:r>
      <w:r w:rsidR="002D3311" w:rsidRPr="004F7D9C">
        <w:rPr>
          <w:rStyle w:val="StrongEmphasis"/>
          <w:b w:val="0"/>
        </w:rPr>
        <w:t xml:space="preserve">aso a parte devedora não efetue o pagamento dentro do prazo </w:t>
      </w:r>
      <w:r w:rsidR="0012411F" w:rsidRPr="004F7D9C">
        <w:rPr>
          <w:rStyle w:val="StrongEmphasis"/>
          <w:b w:val="0"/>
        </w:rPr>
        <w:t xml:space="preserve">de 15 dias </w:t>
      </w:r>
      <w:r w:rsidR="002D3311" w:rsidRPr="004F7D9C">
        <w:rPr>
          <w:rStyle w:val="StrongEmphasis"/>
          <w:b w:val="0"/>
        </w:rPr>
        <w:t xml:space="preserve">pugna que seja procedida </w:t>
      </w:r>
      <w:r w:rsidR="0012411F" w:rsidRPr="004F7D9C">
        <w:rPr>
          <w:rStyle w:val="StrongEmphasis"/>
          <w:b w:val="0"/>
        </w:rPr>
        <w:t>imediatamente com a penhora “on</w:t>
      </w:r>
      <w:r w:rsidR="002D3311" w:rsidRPr="004F7D9C">
        <w:rPr>
          <w:rStyle w:val="StrongEmphasis"/>
          <w:b w:val="0"/>
        </w:rPr>
        <w:t xml:space="preserve">line” via </w:t>
      </w:r>
      <w:proofErr w:type="spellStart"/>
      <w:r w:rsidR="002D3311" w:rsidRPr="004F7D9C">
        <w:rPr>
          <w:rStyle w:val="StrongEmphasis"/>
          <w:b w:val="0"/>
        </w:rPr>
        <w:t>BacenJud</w:t>
      </w:r>
      <w:proofErr w:type="spellEnd"/>
      <w:r w:rsidR="002D3311" w:rsidRPr="004F7D9C">
        <w:rPr>
          <w:rStyle w:val="StrongEmphasis"/>
          <w:b w:val="0"/>
        </w:rPr>
        <w:t>, bem como o bloqueio/penhora de todos os bens em nome da devedora junto ao DETRAN via RENAJUD e cartórios de imóveis.</w:t>
      </w:r>
      <w:r w:rsidR="0083227C" w:rsidRPr="004F7D9C">
        <w:rPr>
          <w:rStyle w:val="StrongEmphasis"/>
          <w:b w:val="0"/>
        </w:rPr>
        <w:t xml:space="preserve"> </w:t>
      </w:r>
    </w:p>
    <w:p w14:paraId="0302385C" w14:textId="54CEB723" w:rsidR="00937AF6" w:rsidRPr="0012411F" w:rsidRDefault="00DD0A75" w:rsidP="009B3214">
      <w:pPr>
        <w:pStyle w:val="BodyText"/>
        <w:numPr>
          <w:ilvl w:val="0"/>
          <w:numId w:val="4"/>
        </w:numPr>
        <w:spacing w:after="0" w:line="360" w:lineRule="auto"/>
        <w:jc w:val="both"/>
        <w:rPr>
          <w:lang w:bidi="uz-Cyrl-UZ"/>
        </w:rPr>
      </w:pPr>
      <w:r w:rsidRPr="0012411F">
        <w:t>Seja feita</w:t>
      </w:r>
      <w:r w:rsidR="00937AF6" w:rsidRPr="0012411F">
        <w:t xml:space="preserve"> a conversão da obrigação de fazer e não fazer em perdas e danos, nos termos do art. 499 do NCPC; </w:t>
      </w:r>
    </w:p>
    <w:p w14:paraId="1B32FEDF" w14:textId="19549F2C" w:rsidR="009B3214" w:rsidRDefault="009B3214" w:rsidP="009B3214">
      <w:pPr>
        <w:pStyle w:val="BodyText"/>
        <w:numPr>
          <w:ilvl w:val="0"/>
          <w:numId w:val="4"/>
        </w:numPr>
        <w:jc w:val="both"/>
      </w:pPr>
      <w:r w:rsidRPr="0012411F">
        <w:t xml:space="preserve">Ante a faculdade prevista no inciso </w:t>
      </w:r>
      <w:hyperlink r:id="rId16">
        <w:r w:rsidRPr="0012411F">
          <w:rPr>
            <w:rStyle w:val="InternetLink"/>
            <w:color w:val="auto"/>
            <w:u w:val="none"/>
          </w:rPr>
          <w:t>VII</w:t>
        </w:r>
      </w:hyperlink>
      <w:r w:rsidRPr="0012411F">
        <w:t xml:space="preserve"> do artigo </w:t>
      </w:r>
      <w:hyperlink r:id="rId17">
        <w:r w:rsidRPr="0012411F">
          <w:rPr>
            <w:rStyle w:val="InternetLink"/>
            <w:color w:val="auto"/>
            <w:u w:val="none"/>
          </w:rPr>
          <w:t>319</w:t>
        </w:r>
      </w:hyperlink>
      <w:r w:rsidRPr="0012411F">
        <w:t xml:space="preserve"> do </w:t>
      </w:r>
      <w:hyperlink r:id="rId18">
        <w:r w:rsidRPr="0012411F">
          <w:rPr>
            <w:rStyle w:val="InternetLink"/>
            <w:color w:val="auto"/>
            <w:u w:val="none"/>
          </w:rPr>
          <w:t>NCPC</w:t>
        </w:r>
      </w:hyperlink>
      <w:r w:rsidRPr="0012411F">
        <w:t xml:space="preserve">, o autor opta por </w:t>
      </w:r>
      <w:r w:rsidRPr="0001111F">
        <w:t>NÃO realizar audiência prévia de conciliação ou mediação;</w:t>
      </w:r>
      <w:r w:rsidR="00AF4DD4" w:rsidRPr="0001111F">
        <w:t xml:space="preserve"> </w:t>
      </w:r>
    </w:p>
    <w:p w14:paraId="3DF26F3C" w14:textId="48941330" w:rsidR="004736F2" w:rsidRPr="0001111F" w:rsidRDefault="004736F2" w:rsidP="009B3214">
      <w:pPr>
        <w:pStyle w:val="BodyText"/>
        <w:numPr>
          <w:ilvl w:val="0"/>
          <w:numId w:val="4"/>
        </w:numPr>
        <w:jc w:val="both"/>
      </w:pPr>
      <w:r>
        <w:t xml:space="preserve">por não ter certificado digital, e não ser possível a inclusão no polo passivo do PJE, </w:t>
      </w:r>
      <w:r>
        <w:t xml:space="preserve">seja intimada a executada </w:t>
      </w:r>
      <w:r w:rsidRPr="004736F2">
        <w:rPr>
          <w:b/>
        </w:rPr>
        <w:t>UNIÃO BASILEIRA DE ASSITENCIA – UNIBRAS no endereço Rua Senador Manoel Barata, 718, Salas 807/808, Campina, Belém-PA</w:t>
      </w:r>
      <w:r>
        <w:t xml:space="preserve">, e caso não seja localizado, seja feita </w:t>
      </w:r>
      <w:r w:rsidRPr="004736F2">
        <w:rPr>
          <w:b/>
        </w:rPr>
        <w:t>por Edital.</w:t>
      </w:r>
    </w:p>
    <w:p w14:paraId="0E6881F0" w14:textId="44987798" w:rsidR="009B3214" w:rsidRPr="0001111F" w:rsidRDefault="009B3214" w:rsidP="009B3214">
      <w:pPr>
        <w:pStyle w:val="BodyText"/>
        <w:numPr>
          <w:ilvl w:val="0"/>
          <w:numId w:val="4"/>
        </w:numPr>
        <w:jc w:val="both"/>
      </w:pPr>
      <w:r w:rsidRPr="0001111F">
        <w:t xml:space="preserve">Dá à causa o valor de </w:t>
      </w:r>
      <w:r w:rsidRPr="0059737A">
        <w:rPr>
          <w:b/>
        </w:rPr>
        <w:t>R$</w:t>
      </w:r>
      <w:r w:rsidR="0059737A">
        <w:rPr>
          <w:b/>
        </w:rPr>
        <w:t xml:space="preserve"> </w:t>
      </w:r>
      <w:r w:rsidR="0059737A" w:rsidRPr="0059737A">
        <w:rPr>
          <w:b/>
        </w:rPr>
        <w:t xml:space="preserve">518.644,93 </w:t>
      </w:r>
      <w:r w:rsidR="0059737A">
        <w:t xml:space="preserve">(quinhentos e dezoito mil, seiscentos e quarenta e quatro reais e noventa e três centavos), </w:t>
      </w:r>
      <w:r w:rsidRPr="0001111F">
        <w:t>que é o valor exequendo relativo à parte líquida da</w:t>
      </w:r>
      <w:r w:rsidR="000B091E" w:rsidRPr="0001111F">
        <w:t xml:space="preserve"> r. Sentença (cópia da sentença, em anexo, DOC. 03)</w:t>
      </w:r>
      <w:r w:rsidR="0001111F" w:rsidRPr="0001111F">
        <w:t xml:space="preserve"> </w:t>
      </w:r>
      <w:r w:rsidRPr="0001111F">
        <w:t xml:space="preserve">nos termos do artigo </w:t>
      </w:r>
      <w:hyperlink r:id="rId19">
        <w:r w:rsidRPr="0001111F">
          <w:rPr>
            <w:rStyle w:val="InternetLink"/>
            <w:color w:val="auto"/>
            <w:u w:val="none"/>
          </w:rPr>
          <w:t>319</w:t>
        </w:r>
      </w:hyperlink>
      <w:r w:rsidRPr="0001111F">
        <w:t xml:space="preserve">, </w:t>
      </w:r>
      <w:hyperlink r:id="rId20">
        <w:r w:rsidRPr="0001111F">
          <w:rPr>
            <w:rStyle w:val="InternetLink"/>
            <w:color w:val="auto"/>
            <w:u w:val="none"/>
          </w:rPr>
          <w:t>V</w:t>
        </w:r>
      </w:hyperlink>
      <w:r w:rsidRPr="0001111F">
        <w:t xml:space="preserve"> e do artigo </w:t>
      </w:r>
      <w:hyperlink r:id="rId21">
        <w:r w:rsidRPr="0001111F">
          <w:rPr>
            <w:rStyle w:val="InternetLink"/>
            <w:color w:val="auto"/>
            <w:u w:val="none"/>
          </w:rPr>
          <w:t>292</w:t>
        </w:r>
      </w:hyperlink>
      <w:r w:rsidRPr="0001111F">
        <w:t xml:space="preserve">, </w:t>
      </w:r>
      <w:hyperlink r:id="rId22">
        <w:r w:rsidRPr="0001111F">
          <w:rPr>
            <w:rStyle w:val="InternetLink"/>
            <w:color w:val="auto"/>
            <w:u w:val="none"/>
          </w:rPr>
          <w:t>II</w:t>
        </w:r>
      </w:hyperlink>
      <w:r w:rsidRPr="0001111F">
        <w:t xml:space="preserve">, do </w:t>
      </w:r>
      <w:hyperlink r:id="rId23">
        <w:r w:rsidRPr="0001111F">
          <w:rPr>
            <w:rStyle w:val="InternetLink"/>
            <w:color w:val="auto"/>
            <w:u w:val="none"/>
          </w:rPr>
          <w:t>NCPC</w:t>
        </w:r>
      </w:hyperlink>
      <w:r w:rsidR="0001111F" w:rsidRPr="0001111F">
        <w:t>.</w:t>
      </w:r>
    </w:p>
    <w:p w14:paraId="2B52FAE9" w14:textId="77777777" w:rsidR="0068753E" w:rsidRDefault="0068753E" w:rsidP="009B3214">
      <w:pPr>
        <w:pStyle w:val="BodyText"/>
        <w:spacing w:after="0" w:line="360" w:lineRule="auto"/>
        <w:ind w:left="720"/>
        <w:jc w:val="both"/>
        <w:rPr>
          <w:rFonts w:eastAsia="Bookman old;MS PMincho"/>
          <w:lang w:bidi="uz-Cyrl-UZ"/>
        </w:rPr>
      </w:pPr>
    </w:p>
    <w:p w14:paraId="6E4B189F" w14:textId="77777777" w:rsidR="00400CD2" w:rsidRDefault="002D3311" w:rsidP="00400CD2">
      <w:pPr>
        <w:pStyle w:val="BodyText"/>
        <w:spacing w:after="0" w:line="360" w:lineRule="auto"/>
        <w:ind w:firstLine="709"/>
        <w:jc w:val="both"/>
      </w:pPr>
      <w:r>
        <w:t>Nestes Termos,</w:t>
      </w:r>
    </w:p>
    <w:p w14:paraId="5E16528E" w14:textId="5DA1365C" w:rsidR="0068753E" w:rsidRDefault="002D3311" w:rsidP="00400CD2">
      <w:pPr>
        <w:pStyle w:val="BodyText"/>
        <w:spacing w:after="0" w:line="360" w:lineRule="auto"/>
        <w:ind w:firstLine="709"/>
        <w:jc w:val="both"/>
      </w:pPr>
      <w:r>
        <w:t>Pede</w:t>
      </w:r>
      <w:r>
        <w:rPr>
          <w:rFonts w:eastAsia="Bookman old;MS PMincho"/>
        </w:rPr>
        <w:t xml:space="preserve"> </w:t>
      </w:r>
      <w:r>
        <w:t>deferimento.</w:t>
      </w:r>
    </w:p>
    <w:p w14:paraId="1969FDEF" w14:textId="391AE7D3" w:rsidR="0068753E" w:rsidRDefault="00400CD2" w:rsidP="00400CD2">
      <w:pPr>
        <w:pStyle w:val="BodyText"/>
        <w:spacing w:after="0" w:line="360" w:lineRule="auto"/>
        <w:ind w:firstLine="709"/>
        <w:jc w:val="both"/>
      </w:pPr>
      <w:r>
        <w:t>Teresina</w:t>
      </w:r>
      <w:r w:rsidR="002D3311">
        <w:t>,</w:t>
      </w:r>
      <w:r w:rsidR="00DE2ED7">
        <w:rPr>
          <w:rFonts w:eastAsia="Bookman old;MS PMincho"/>
        </w:rPr>
        <w:t xml:space="preserve"> 15</w:t>
      </w:r>
      <w:r w:rsidR="00225822">
        <w:rPr>
          <w:rFonts w:eastAsia="Bookman old;MS PMincho"/>
        </w:rPr>
        <w:t xml:space="preserve"> </w:t>
      </w:r>
      <w:r w:rsidR="009B3214">
        <w:rPr>
          <w:rFonts w:eastAsia="Bookman old;MS PMincho"/>
        </w:rPr>
        <w:t>de Junho de 2020</w:t>
      </w:r>
      <w:r w:rsidR="002D3311">
        <w:t>.</w:t>
      </w:r>
    </w:p>
    <w:p w14:paraId="123F8654" w14:textId="77777777" w:rsidR="0068753E" w:rsidRDefault="0068753E">
      <w:pPr>
        <w:pStyle w:val="BodyText"/>
        <w:spacing w:after="0" w:line="360" w:lineRule="auto"/>
        <w:jc w:val="center"/>
        <w:rPr>
          <w:rFonts w:eastAsia="Bookman old;MS PMincho"/>
          <w:b/>
        </w:rPr>
      </w:pPr>
    </w:p>
    <w:p w14:paraId="2A110974" w14:textId="77777777" w:rsidR="0068753E" w:rsidRDefault="0068753E">
      <w:pPr>
        <w:pStyle w:val="BodyText"/>
        <w:spacing w:after="0" w:line="360" w:lineRule="auto"/>
        <w:jc w:val="center"/>
        <w:rPr>
          <w:rFonts w:eastAsia="Bookman old;MS PMincho"/>
          <w:b/>
        </w:rPr>
      </w:pPr>
    </w:p>
    <w:p w14:paraId="6AA45ECF" w14:textId="77777777" w:rsidR="0068753E" w:rsidRPr="009B3214" w:rsidRDefault="002D3311">
      <w:pPr>
        <w:pStyle w:val="BodyText"/>
        <w:spacing w:after="0"/>
        <w:jc w:val="center"/>
        <w:rPr>
          <w:rFonts w:eastAsia="Bookman old;MS PMincho"/>
          <w:b/>
        </w:rPr>
      </w:pPr>
      <w:r w:rsidRPr="009B3214">
        <w:rPr>
          <w:rFonts w:eastAsia="Bookman old;MS PMincho"/>
          <w:b/>
        </w:rPr>
        <w:t xml:space="preserve">NIVADO RIBEIRO </w:t>
      </w:r>
    </w:p>
    <w:p w14:paraId="3ED629D4" w14:textId="77777777" w:rsidR="0068753E" w:rsidRPr="009B3214" w:rsidRDefault="002D3311">
      <w:pPr>
        <w:pStyle w:val="BodyText"/>
        <w:spacing w:after="0"/>
        <w:jc w:val="center"/>
        <w:rPr>
          <w:b/>
        </w:rPr>
      </w:pPr>
      <w:r w:rsidRPr="009B3214">
        <w:rPr>
          <w:b/>
        </w:rPr>
        <w:t>Promotor</w:t>
      </w:r>
      <w:r w:rsidRPr="009B3214">
        <w:rPr>
          <w:rFonts w:eastAsia="Bookman old;MS PMincho"/>
          <w:b/>
        </w:rPr>
        <w:t xml:space="preserve"> </w:t>
      </w:r>
      <w:r w:rsidRPr="009B3214">
        <w:rPr>
          <w:b/>
        </w:rPr>
        <w:t>de</w:t>
      </w:r>
      <w:r w:rsidRPr="009B3214">
        <w:rPr>
          <w:rFonts w:eastAsia="Bookman old;MS PMincho"/>
          <w:b/>
        </w:rPr>
        <w:t xml:space="preserve"> </w:t>
      </w:r>
      <w:r w:rsidRPr="009B3214">
        <w:rPr>
          <w:b/>
        </w:rPr>
        <w:t>Justiça</w:t>
      </w:r>
    </w:p>
    <w:p w14:paraId="390F82CE" w14:textId="257BD973" w:rsidR="0068753E" w:rsidRPr="009B3214" w:rsidRDefault="002D3311">
      <w:pPr>
        <w:pStyle w:val="BodyText"/>
        <w:spacing w:after="0"/>
        <w:jc w:val="center"/>
        <w:rPr>
          <w:b/>
        </w:rPr>
      </w:pPr>
      <w:r w:rsidRPr="009B3214">
        <w:rPr>
          <w:b/>
        </w:rPr>
        <w:t>Coordenador</w:t>
      </w:r>
      <w:r w:rsidR="009B3214" w:rsidRPr="009B3214">
        <w:rPr>
          <w:rFonts w:eastAsia="Bookman old;MS PMincho"/>
          <w:b/>
        </w:rPr>
        <w:t>-</w:t>
      </w:r>
      <w:r w:rsidRPr="009B3214">
        <w:rPr>
          <w:b/>
        </w:rPr>
        <w:t>Geral</w:t>
      </w:r>
      <w:r w:rsidRPr="009B3214">
        <w:rPr>
          <w:rFonts w:eastAsia="Bookman old;MS PMincho"/>
          <w:b/>
        </w:rPr>
        <w:t xml:space="preserve"> </w:t>
      </w:r>
      <w:r w:rsidRPr="009B3214">
        <w:rPr>
          <w:b/>
        </w:rPr>
        <w:t>do</w:t>
      </w:r>
      <w:r w:rsidRPr="009B3214">
        <w:rPr>
          <w:rFonts w:eastAsia="Bookman old;MS PMincho"/>
          <w:b/>
        </w:rPr>
        <w:t xml:space="preserve"> </w:t>
      </w:r>
      <w:r w:rsidR="006201D2">
        <w:rPr>
          <w:b/>
        </w:rPr>
        <w:t>PROCON/MP</w:t>
      </w:r>
      <w:r w:rsidRPr="009B3214">
        <w:rPr>
          <w:b/>
        </w:rPr>
        <w:t>PI</w:t>
      </w:r>
    </w:p>
    <w:p w14:paraId="2319FC0B" w14:textId="77777777" w:rsidR="0068753E" w:rsidRDefault="0068753E">
      <w:pPr>
        <w:pStyle w:val="BodyText"/>
        <w:spacing w:after="0" w:line="360" w:lineRule="auto"/>
        <w:jc w:val="center"/>
        <w:rPr>
          <w:color w:val="000000"/>
          <w:highlight w:val="blue"/>
          <w:lang w:eastAsia="pt-BR"/>
        </w:rPr>
      </w:pPr>
    </w:p>
    <w:p w14:paraId="0A9830D2" w14:textId="77777777" w:rsidR="00327D12" w:rsidRDefault="00327D12">
      <w:pPr>
        <w:pStyle w:val="BodyText"/>
        <w:spacing w:after="0" w:line="360" w:lineRule="auto"/>
        <w:jc w:val="center"/>
        <w:rPr>
          <w:color w:val="000000"/>
          <w:highlight w:val="blue"/>
          <w:lang w:eastAsia="pt-BR"/>
        </w:rPr>
      </w:pPr>
    </w:p>
    <w:p w14:paraId="3DB6897F" w14:textId="77777777" w:rsidR="0012411F" w:rsidRDefault="0012411F" w:rsidP="00AC2BE0">
      <w:pPr>
        <w:pStyle w:val="BodyText"/>
        <w:spacing w:after="0" w:line="360" w:lineRule="auto"/>
        <w:rPr>
          <w:color w:val="000000"/>
          <w:highlight w:val="blue"/>
          <w:lang w:eastAsia="pt-BR"/>
        </w:rPr>
      </w:pPr>
      <w:bookmarkStart w:id="2" w:name="_GoBack"/>
      <w:bookmarkEnd w:id="2"/>
    </w:p>
    <w:p w14:paraId="6ACD7545" w14:textId="77777777" w:rsidR="009B3214" w:rsidRDefault="009B3214" w:rsidP="00351558">
      <w:pPr>
        <w:pStyle w:val="BodyText"/>
        <w:spacing w:after="0" w:line="360" w:lineRule="auto"/>
        <w:rPr>
          <w:color w:val="000000"/>
          <w:highlight w:val="blue"/>
          <w:lang w:eastAsia="pt-BR"/>
        </w:rPr>
      </w:pPr>
    </w:p>
    <w:p w14:paraId="0773AD3E" w14:textId="77777777" w:rsidR="00351558" w:rsidRPr="00D60AE1" w:rsidRDefault="00351558" w:rsidP="00351558">
      <w:pPr>
        <w:spacing w:line="360" w:lineRule="auto"/>
        <w:ind w:firstLine="709"/>
        <w:jc w:val="center"/>
        <w:rPr>
          <w:b/>
          <w:u w:val="single"/>
        </w:rPr>
      </w:pPr>
      <w:r w:rsidRPr="00D60AE1">
        <w:rPr>
          <w:b/>
          <w:u w:val="single"/>
        </w:rPr>
        <w:t>RELAÇÃO DE DOCUMENTOS</w:t>
      </w:r>
    </w:p>
    <w:p w14:paraId="7BC9E17C" w14:textId="77777777" w:rsidR="00351558" w:rsidRPr="00084FA8" w:rsidRDefault="00351558" w:rsidP="00351558">
      <w:pPr>
        <w:spacing w:line="360" w:lineRule="auto"/>
        <w:ind w:firstLine="709"/>
        <w:jc w:val="both"/>
        <w:rPr>
          <w:color w:val="FF0000"/>
        </w:rPr>
      </w:pPr>
    </w:p>
    <w:p w14:paraId="0ADC5A92" w14:textId="77777777" w:rsidR="00351558" w:rsidRPr="00D60AE1" w:rsidRDefault="00351558" w:rsidP="00351558">
      <w:pPr>
        <w:pStyle w:val="ListParagraph"/>
        <w:numPr>
          <w:ilvl w:val="0"/>
          <w:numId w:val="6"/>
        </w:numPr>
        <w:spacing w:line="360" w:lineRule="auto"/>
        <w:jc w:val="both"/>
      </w:pPr>
      <w:r w:rsidRPr="00D60AE1">
        <w:rPr>
          <w:b/>
        </w:rPr>
        <w:t>DOC. 01</w:t>
      </w:r>
      <w:r w:rsidRPr="00D60AE1">
        <w:t xml:space="preserve"> – Petição Inicial – Ação Civil Pública</w:t>
      </w:r>
    </w:p>
    <w:p w14:paraId="428B44B7" w14:textId="5412B01E" w:rsidR="00351558" w:rsidRPr="00D60AE1" w:rsidRDefault="00351558" w:rsidP="00351558">
      <w:pPr>
        <w:pStyle w:val="ListParagraph"/>
        <w:numPr>
          <w:ilvl w:val="0"/>
          <w:numId w:val="6"/>
        </w:numPr>
        <w:spacing w:line="360" w:lineRule="auto"/>
        <w:jc w:val="both"/>
        <w:rPr>
          <w:b/>
        </w:rPr>
      </w:pPr>
      <w:r w:rsidRPr="00D60AE1">
        <w:rPr>
          <w:b/>
        </w:rPr>
        <w:t xml:space="preserve">DOC. 02 </w:t>
      </w:r>
      <w:r w:rsidRPr="00D60AE1">
        <w:t xml:space="preserve">– </w:t>
      </w:r>
      <w:r w:rsidR="00952DC0">
        <w:t xml:space="preserve">Homologação de TAC firmado com a Ré </w:t>
      </w:r>
      <w:r w:rsidR="00D60AE1" w:rsidRPr="00D60AE1">
        <w:t>FAP</w:t>
      </w:r>
    </w:p>
    <w:p w14:paraId="73D80ABA" w14:textId="1C36DDF0" w:rsidR="00351558" w:rsidRPr="00CA47D4" w:rsidRDefault="00351558" w:rsidP="00351558">
      <w:pPr>
        <w:pStyle w:val="ListParagraph"/>
        <w:numPr>
          <w:ilvl w:val="0"/>
          <w:numId w:val="6"/>
        </w:numPr>
        <w:spacing w:line="360" w:lineRule="auto"/>
        <w:jc w:val="both"/>
        <w:rPr>
          <w:b/>
        </w:rPr>
      </w:pPr>
      <w:r w:rsidRPr="00D60AE1">
        <w:rPr>
          <w:b/>
        </w:rPr>
        <w:t xml:space="preserve">DOC. 03 </w:t>
      </w:r>
      <w:r w:rsidRPr="00D60AE1">
        <w:t>–</w:t>
      </w:r>
      <w:r w:rsidR="0012411F">
        <w:t xml:space="preserve"> </w:t>
      </w:r>
      <w:r w:rsidRPr="00D60AE1">
        <w:t>Sentença</w:t>
      </w:r>
    </w:p>
    <w:p w14:paraId="31CB1EAD" w14:textId="257F8E80" w:rsidR="00952DC0" w:rsidRPr="00CA47D4" w:rsidRDefault="00CA47D4" w:rsidP="00CA47D4">
      <w:pPr>
        <w:pStyle w:val="ListParagraph"/>
        <w:numPr>
          <w:ilvl w:val="0"/>
          <w:numId w:val="6"/>
        </w:numPr>
        <w:spacing w:line="360" w:lineRule="auto"/>
        <w:jc w:val="both"/>
        <w:rPr>
          <w:b/>
        </w:rPr>
      </w:pPr>
      <w:r>
        <w:rPr>
          <w:b/>
        </w:rPr>
        <w:t xml:space="preserve">DOC. 04 </w:t>
      </w:r>
      <w:r w:rsidRPr="00D60AE1">
        <w:t>–</w:t>
      </w:r>
      <w:r>
        <w:rPr>
          <w:b/>
        </w:rPr>
        <w:t xml:space="preserve"> </w:t>
      </w:r>
      <w:r w:rsidR="00351558" w:rsidRPr="00D60AE1">
        <w:t xml:space="preserve">Recurso </w:t>
      </w:r>
      <w:r w:rsidR="0012411F">
        <w:t xml:space="preserve">de </w:t>
      </w:r>
      <w:r w:rsidR="00351558" w:rsidRPr="00D60AE1">
        <w:t>Apelação</w:t>
      </w:r>
      <w:r w:rsidR="0012411F">
        <w:t xml:space="preserve"> </w:t>
      </w:r>
      <w:r w:rsidR="00952DC0">
        <w:t>interposto pela</w:t>
      </w:r>
      <w:r w:rsidR="0012411F">
        <w:t xml:space="preserve"> Ré </w:t>
      </w:r>
      <w:r w:rsidR="00952DC0">
        <w:t>Equatorial Previdência Complementar</w:t>
      </w:r>
      <w:r w:rsidR="00952DC0" w:rsidRPr="00CA47D4">
        <w:rPr>
          <w:b/>
        </w:rPr>
        <w:t xml:space="preserve"> </w:t>
      </w:r>
    </w:p>
    <w:p w14:paraId="71A13762" w14:textId="74649BA8" w:rsidR="00351558" w:rsidRPr="00952DC0" w:rsidRDefault="00351558" w:rsidP="00351558">
      <w:pPr>
        <w:pStyle w:val="ListParagraph"/>
        <w:numPr>
          <w:ilvl w:val="0"/>
          <w:numId w:val="6"/>
        </w:numPr>
        <w:spacing w:line="360" w:lineRule="auto"/>
        <w:jc w:val="both"/>
        <w:rPr>
          <w:b/>
        </w:rPr>
      </w:pPr>
      <w:r w:rsidRPr="00952DC0">
        <w:rPr>
          <w:b/>
        </w:rPr>
        <w:t xml:space="preserve">DOC. 05 </w:t>
      </w:r>
      <w:r w:rsidRPr="00D60AE1">
        <w:t>– Decisão Monocrática do Relator negando seguimento</w:t>
      </w:r>
      <w:r w:rsidR="0012411F">
        <w:t xml:space="preserve"> ao recurso de Apelação </w:t>
      </w:r>
      <w:r w:rsidR="00952DC0">
        <w:t>interpos</w:t>
      </w:r>
      <w:r w:rsidR="0012411F">
        <w:t xml:space="preserve">ta pela Ré </w:t>
      </w:r>
      <w:r w:rsidR="00952DC0">
        <w:t>Equatorial Previdência Complementar</w:t>
      </w:r>
    </w:p>
    <w:p w14:paraId="50D6AB7A" w14:textId="707F2202" w:rsidR="00351558" w:rsidRPr="00D60AE1" w:rsidRDefault="00351558" w:rsidP="00351558">
      <w:pPr>
        <w:pStyle w:val="ListParagraph"/>
        <w:numPr>
          <w:ilvl w:val="0"/>
          <w:numId w:val="6"/>
        </w:numPr>
        <w:spacing w:line="360" w:lineRule="auto"/>
        <w:jc w:val="both"/>
        <w:rPr>
          <w:b/>
        </w:rPr>
      </w:pPr>
      <w:r w:rsidRPr="00D60AE1">
        <w:rPr>
          <w:b/>
        </w:rPr>
        <w:t xml:space="preserve">DOC. 06 </w:t>
      </w:r>
      <w:r w:rsidRPr="00D60AE1">
        <w:t>– Recurso de Agravo de Instrumento</w:t>
      </w:r>
      <w:r w:rsidR="00952DC0">
        <w:t xml:space="preserve"> interposto pela Ré Equatorial Previdência Complementar</w:t>
      </w:r>
    </w:p>
    <w:p w14:paraId="567D5158" w14:textId="431AA19C" w:rsidR="00351558" w:rsidRPr="00D60AE1" w:rsidRDefault="00351558" w:rsidP="00351558">
      <w:pPr>
        <w:pStyle w:val="ListParagraph"/>
        <w:numPr>
          <w:ilvl w:val="0"/>
          <w:numId w:val="6"/>
        </w:numPr>
        <w:spacing w:line="360" w:lineRule="auto"/>
        <w:jc w:val="both"/>
        <w:rPr>
          <w:b/>
        </w:rPr>
      </w:pPr>
      <w:r w:rsidRPr="00D60AE1">
        <w:rPr>
          <w:b/>
        </w:rPr>
        <w:t xml:space="preserve">DOC. 07 </w:t>
      </w:r>
      <w:r w:rsidRPr="00D60AE1">
        <w:t>– Despacho negando seguimento</w:t>
      </w:r>
      <w:r w:rsidR="00CA47D4">
        <w:t xml:space="preserve"> ao R</w:t>
      </w:r>
      <w:r w:rsidR="0012411F">
        <w:t>ecurso de Agravo de Instrumento</w:t>
      </w:r>
      <w:r w:rsidR="00952DC0">
        <w:t xml:space="preserve"> interposto pela Ré Equatorial Previdência Complementar</w:t>
      </w:r>
    </w:p>
    <w:p w14:paraId="20A677A2" w14:textId="1F35B04D" w:rsidR="00351558" w:rsidRPr="00A86E0A" w:rsidRDefault="00351558" w:rsidP="00351558">
      <w:pPr>
        <w:pStyle w:val="ListParagraph"/>
        <w:numPr>
          <w:ilvl w:val="0"/>
          <w:numId w:val="6"/>
        </w:numPr>
        <w:spacing w:line="360" w:lineRule="auto"/>
        <w:jc w:val="both"/>
        <w:rPr>
          <w:b/>
        </w:rPr>
      </w:pPr>
      <w:r w:rsidRPr="00D60AE1">
        <w:rPr>
          <w:b/>
        </w:rPr>
        <w:t xml:space="preserve">DOC. 08 </w:t>
      </w:r>
      <w:r w:rsidRPr="00D60AE1">
        <w:t>– Certidão</w:t>
      </w:r>
      <w:r w:rsidR="001015F9">
        <w:t xml:space="preserve"> de</w:t>
      </w:r>
      <w:r w:rsidRPr="00D60AE1">
        <w:t xml:space="preserve"> Transito em Julgado</w:t>
      </w:r>
    </w:p>
    <w:p w14:paraId="74F2CD86" w14:textId="4AB0B3A0" w:rsidR="00A86E0A" w:rsidRPr="00A86E0A" w:rsidRDefault="00A86E0A" w:rsidP="00351558">
      <w:pPr>
        <w:pStyle w:val="ListParagraph"/>
        <w:numPr>
          <w:ilvl w:val="0"/>
          <w:numId w:val="6"/>
        </w:numPr>
        <w:spacing w:line="360" w:lineRule="auto"/>
        <w:jc w:val="both"/>
        <w:rPr>
          <w:b/>
        </w:rPr>
      </w:pPr>
      <w:r w:rsidRPr="00D60AE1">
        <w:rPr>
          <w:b/>
        </w:rPr>
        <w:t>DOC. 0</w:t>
      </w:r>
      <w:r>
        <w:rPr>
          <w:b/>
        </w:rPr>
        <w:t xml:space="preserve">9 </w:t>
      </w:r>
      <w:r w:rsidRPr="00D60AE1">
        <w:t>–</w:t>
      </w:r>
      <w:r>
        <w:t xml:space="preserve"> </w:t>
      </w:r>
      <w:r w:rsidR="001015F9">
        <w:t>Memória de Cálculo -</w:t>
      </w:r>
      <w:r>
        <w:t xml:space="preserve"> Equatorial Previdência Complementar</w:t>
      </w:r>
    </w:p>
    <w:p w14:paraId="6917A6CE" w14:textId="03DF9049" w:rsidR="00A86E0A" w:rsidRPr="00A86E0A" w:rsidRDefault="00A86E0A" w:rsidP="00351558">
      <w:pPr>
        <w:pStyle w:val="ListParagraph"/>
        <w:numPr>
          <w:ilvl w:val="0"/>
          <w:numId w:val="6"/>
        </w:numPr>
        <w:spacing w:line="360" w:lineRule="auto"/>
        <w:jc w:val="both"/>
        <w:rPr>
          <w:b/>
        </w:rPr>
      </w:pPr>
      <w:r>
        <w:rPr>
          <w:b/>
        </w:rPr>
        <w:t>DOC. 10</w:t>
      </w:r>
      <w:r w:rsidRPr="00D60AE1">
        <w:rPr>
          <w:b/>
        </w:rPr>
        <w:t xml:space="preserve"> </w:t>
      </w:r>
      <w:r w:rsidRPr="00D60AE1">
        <w:t>–</w:t>
      </w:r>
      <w:r>
        <w:t xml:space="preserve"> </w:t>
      </w:r>
      <w:r w:rsidR="001015F9">
        <w:t xml:space="preserve">Memória de Cálculo - </w:t>
      </w:r>
      <w:r>
        <w:t>Federal de Seguros S.A.</w:t>
      </w:r>
    </w:p>
    <w:p w14:paraId="2932AF3B" w14:textId="576A2C63" w:rsidR="00A86E0A" w:rsidRPr="00D60AE1" w:rsidRDefault="00A86E0A" w:rsidP="00351558">
      <w:pPr>
        <w:pStyle w:val="ListParagraph"/>
        <w:numPr>
          <w:ilvl w:val="0"/>
          <w:numId w:val="6"/>
        </w:numPr>
        <w:spacing w:line="360" w:lineRule="auto"/>
        <w:jc w:val="both"/>
        <w:rPr>
          <w:b/>
        </w:rPr>
      </w:pPr>
      <w:r>
        <w:rPr>
          <w:b/>
        </w:rPr>
        <w:t>DOC. 11</w:t>
      </w:r>
      <w:r w:rsidRPr="00D60AE1">
        <w:rPr>
          <w:b/>
        </w:rPr>
        <w:t xml:space="preserve"> </w:t>
      </w:r>
      <w:r w:rsidRPr="00D60AE1">
        <w:t>–</w:t>
      </w:r>
      <w:r w:rsidR="001015F9" w:rsidRPr="001015F9">
        <w:t xml:space="preserve"> </w:t>
      </w:r>
      <w:r w:rsidR="001015F9">
        <w:t xml:space="preserve">Memória de Cálculo - </w:t>
      </w:r>
      <w:r>
        <w:t>UNIBRAS</w:t>
      </w:r>
    </w:p>
    <w:p w14:paraId="3C1CE432" w14:textId="77777777" w:rsidR="009B3214" w:rsidRDefault="009B3214" w:rsidP="005A28F2">
      <w:pPr>
        <w:pStyle w:val="BodyText"/>
        <w:spacing w:after="0" w:line="360" w:lineRule="auto"/>
        <w:rPr>
          <w:color w:val="000000"/>
          <w:highlight w:val="blue"/>
          <w:lang w:eastAsia="pt-BR"/>
        </w:rPr>
      </w:pPr>
    </w:p>
    <w:p w14:paraId="7704E9CE" w14:textId="77777777" w:rsidR="00D60AE1" w:rsidRDefault="00D60AE1" w:rsidP="005A28F2">
      <w:pPr>
        <w:pStyle w:val="BodyText"/>
        <w:spacing w:after="0" w:line="360" w:lineRule="auto"/>
        <w:rPr>
          <w:color w:val="000000"/>
          <w:highlight w:val="blue"/>
          <w:lang w:eastAsia="pt-BR"/>
        </w:rPr>
      </w:pPr>
    </w:p>
    <w:p w14:paraId="128A7B47" w14:textId="77777777" w:rsidR="00D60AE1" w:rsidRDefault="00D60AE1" w:rsidP="005A28F2">
      <w:pPr>
        <w:pStyle w:val="BodyText"/>
        <w:spacing w:after="0" w:line="360" w:lineRule="auto"/>
        <w:rPr>
          <w:color w:val="000000"/>
          <w:highlight w:val="blue"/>
          <w:lang w:eastAsia="pt-BR"/>
        </w:rPr>
      </w:pPr>
    </w:p>
    <w:p w14:paraId="65A80B83" w14:textId="77777777" w:rsidR="00D60AE1" w:rsidRDefault="00D60AE1" w:rsidP="005A28F2">
      <w:pPr>
        <w:pStyle w:val="BodyText"/>
        <w:spacing w:after="0" w:line="360" w:lineRule="auto"/>
        <w:rPr>
          <w:color w:val="000000"/>
          <w:highlight w:val="blue"/>
          <w:lang w:eastAsia="pt-BR"/>
        </w:rPr>
      </w:pPr>
    </w:p>
    <w:p w14:paraId="7A663179" w14:textId="77777777" w:rsidR="001E71B7" w:rsidRDefault="001E71B7" w:rsidP="005A28F2">
      <w:pPr>
        <w:pStyle w:val="BodyText"/>
        <w:spacing w:after="0" w:line="360" w:lineRule="auto"/>
        <w:rPr>
          <w:color w:val="000000"/>
          <w:highlight w:val="blue"/>
          <w:lang w:eastAsia="pt-BR"/>
        </w:rPr>
      </w:pPr>
    </w:p>
    <w:p w14:paraId="0B95A163" w14:textId="77777777" w:rsidR="00327D12" w:rsidRDefault="00327D12" w:rsidP="00252650">
      <w:pPr>
        <w:pStyle w:val="BodyText"/>
        <w:spacing w:after="0" w:line="360" w:lineRule="auto"/>
        <w:rPr>
          <w:color w:val="000000"/>
          <w:highlight w:val="blue"/>
          <w:lang w:eastAsia="pt-BR"/>
        </w:rPr>
      </w:pPr>
    </w:p>
    <w:sectPr w:rsidR="00327D12" w:rsidSect="0013079E">
      <w:headerReference w:type="default" r:id="rId24"/>
      <w:footerReference w:type="default" r:id="rId25"/>
      <w:pgSz w:w="11906" w:h="16838"/>
      <w:pgMar w:top="3602" w:right="1701" w:bottom="1693" w:left="1701" w:header="1417" w:footer="1417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D5679" w14:textId="77777777" w:rsidR="003B1E8D" w:rsidRDefault="003B1E8D">
      <w:r>
        <w:separator/>
      </w:r>
    </w:p>
  </w:endnote>
  <w:endnote w:type="continuationSeparator" w:id="0">
    <w:p w14:paraId="6F1BE7FC" w14:textId="77777777" w:rsidR="003B1E8D" w:rsidRDefault="003B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charset w:val="00"/>
    <w:family w:val="auto"/>
    <w:pitch w:val="variable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00"/>
    <w:family w:val="auto"/>
    <w:pitch w:val="variable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man old;MS PMincho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ookman Old Style;Times New Rom"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774CA" w14:textId="77777777" w:rsidR="003B1E8D" w:rsidRDefault="003B1E8D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6F85B" w14:textId="77777777" w:rsidR="003B1E8D" w:rsidRDefault="003B1E8D">
      <w:r>
        <w:separator/>
      </w:r>
    </w:p>
  </w:footnote>
  <w:footnote w:type="continuationSeparator" w:id="0">
    <w:p w14:paraId="08204A54" w14:textId="77777777" w:rsidR="003B1E8D" w:rsidRDefault="003B1E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26293" w14:textId="77777777" w:rsidR="003B1E8D" w:rsidRDefault="003B1E8D">
    <w:pPr>
      <w:widowControl w:val="0"/>
      <w:autoSpaceDE w:val="0"/>
      <w:spacing w:line="200" w:lineRule="atLeast"/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noProof/>
        <w:sz w:val="18"/>
        <w:szCs w:val="18"/>
        <w:lang w:val="en-US" w:eastAsia="en-US"/>
      </w:rPr>
      <w:drawing>
        <wp:anchor distT="0" distB="0" distL="0" distR="0" simplePos="0" relativeHeight="19" behindDoc="0" locked="0" layoutInCell="1" allowOverlap="1" wp14:anchorId="17CC23EA" wp14:editId="0D8A7C0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397500" cy="1252220"/>
          <wp:effectExtent l="0" t="0" r="0" b="0"/>
          <wp:wrapSquare wrapText="largest"/>
          <wp:docPr id="1" name="figura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2" t="-399" r="-92" b="-399"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1252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6C8090" w14:textId="77777777" w:rsidR="003B1E8D" w:rsidRDefault="003B1E8D">
    <w:pPr>
      <w:pStyle w:val="WW-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27CB2"/>
    <w:multiLevelType w:val="hybridMultilevel"/>
    <w:tmpl w:val="01708BE2"/>
    <w:lvl w:ilvl="0" w:tplc="19AC4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E6410"/>
    <w:multiLevelType w:val="multilevel"/>
    <w:tmpl w:val="21C859EC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84059D3"/>
    <w:multiLevelType w:val="multilevel"/>
    <w:tmpl w:val="56AA177C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4500FC5"/>
    <w:multiLevelType w:val="multilevel"/>
    <w:tmpl w:val="79E83F86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b/>
        <w:bCs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43FD7B8A"/>
    <w:multiLevelType w:val="hybridMultilevel"/>
    <w:tmpl w:val="74320478"/>
    <w:lvl w:ilvl="0" w:tplc="19AC489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514291"/>
    <w:multiLevelType w:val="hybridMultilevel"/>
    <w:tmpl w:val="89261CCC"/>
    <w:lvl w:ilvl="0" w:tplc="E124D72E">
      <w:start w:val="1"/>
      <w:numFmt w:val="decimal"/>
      <w:lvlText w:val="c.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728D58D3"/>
    <w:multiLevelType w:val="hybridMultilevel"/>
    <w:tmpl w:val="563E17D2"/>
    <w:lvl w:ilvl="0" w:tplc="4D60B9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3E"/>
    <w:rsid w:val="0001111F"/>
    <w:rsid w:val="000203C2"/>
    <w:rsid w:val="000226EC"/>
    <w:rsid w:val="0003789E"/>
    <w:rsid w:val="00044188"/>
    <w:rsid w:val="00070B87"/>
    <w:rsid w:val="000840CE"/>
    <w:rsid w:val="000864E1"/>
    <w:rsid w:val="000A23FF"/>
    <w:rsid w:val="000B091E"/>
    <w:rsid w:val="000B0A2F"/>
    <w:rsid w:val="000C3B41"/>
    <w:rsid w:val="000D2E22"/>
    <w:rsid w:val="000D7814"/>
    <w:rsid w:val="000E4F5F"/>
    <w:rsid w:val="000E600E"/>
    <w:rsid w:val="001015F9"/>
    <w:rsid w:val="00105797"/>
    <w:rsid w:val="0012411F"/>
    <w:rsid w:val="0013079E"/>
    <w:rsid w:val="001479FB"/>
    <w:rsid w:val="001727AC"/>
    <w:rsid w:val="00174547"/>
    <w:rsid w:val="001843D7"/>
    <w:rsid w:val="001934DE"/>
    <w:rsid w:val="00197ACE"/>
    <w:rsid w:val="001D6E08"/>
    <w:rsid w:val="001E71B7"/>
    <w:rsid w:val="001F0D7E"/>
    <w:rsid w:val="001F42E3"/>
    <w:rsid w:val="001F47A4"/>
    <w:rsid w:val="00213E8B"/>
    <w:rsid w:val="00217127"/>
    <w:rsid w:val="00225822"/>
    <w:rsid w:val="00252650"/>
    <w:rsid w:val="00256C2E"/>
    <w:rsid w:val="00261E1C"/>
    <w:rsid w:val="002821D3"/>
    <w:rsid w:val="002A67F1"/>
    <w:rsid w:val="002A797E"/>
    <w:rsid w:val="002B2D04"/>
    <w:rsid w:val="002D3311"/>
    <w:rsid w:val="002D4F40"/>
    <w:rsid w:val="00300417"/>
    <w:rsid w:val="00327D12"/>
    <w:rsid w:val="00351558"/>
    <w:rsid w:val="003609ED"/>
    <w:rsid w:val="00364264"/>
    <w:rsid w:val="00386D69"/>
    <w:rsid w:val="003B0197"/>
    <w:rsid w:val="003B1E8D"/>
    <w:rsid w:val="00400CD2"/>
    <w:rsid w:val="004070AA"/>
    <w:rsid w:val="0043576B"/>
    <w:rsid w:val="00436D4F"/>
    <w:rsid w:val="004736F2"/>
    <w:rsid w:val="00473975"/>
    <w:rsid w:val="00481AF1"/>
    <w:rsid w:val="00486AF0"/>
    <w:rsid w:val="004B5548"/>
    <w:rsid w:val="004F5658"/>
    <w:rsid w:val="004F61A6"/>
    <w:rsid w:val="004F7393"/>
    <w:rsid w:val="004F7D9C"/>
    <w:rsid w:val="00530BD7"/>
    <w:rsid w:val="00535A7A"/>
    <w:rsid w:val="00542987"/>
    <w:rsid w:val="00573F82"/>
    <w:rsid w:val="00581110"/>
    <w:rsid w:val="005862FA"/>
    <w:rsid w:val="0059548F"/>
    <w:rsid w:val="0059737A"/>
    <w:rsid w:val="005A28F2"/>
    <w:rsid w:val="005C0D58"/>
    <w:rsid w:val="005E7192"/>
    <w:rsid w:val="005F6886"/>
    <w:rsid w:val="005F7D02"/>
    <w:rsid w:val="00611252"/>
    <w:rsid w:val="006201D2"/>
    <w:rsid w:val="00646A8F"/>
    <w:rsid w:val="00662D89"/>
    <w:rsid w:val="006779F4"/>
    <w:rsid w:val="0068753E"/>
    <w:rsid w:val="006B3F49"/>
    <w:rsid w:val="00701428"/>
    <w:rsid w:val="007110EE"/>
    <w:rsid w:val="00730A7D"/>
    <w:rsid w:val="007369D4"/>
    <w:rsid w:val="00752541"/>
    <w:rsid w:val="007700E3"/>
    <w:rsid w:val="0078647E"/>
    <w:rsid w:val="007A5B61"/>
    <w:rsid w:val="007E39A2"/>
    <w:rsid w:val="007F66B0"/>
    <w:rsid w:val="00812142"/>
    <w:rsid w:val="00813622"/>
    <w:rsid w:val="0083227C"/>
    <w:rsid w:val="00837F4C"/>
    <w:rsid w:val="0085015C"/>
    <w:rsid w:val="0086306A"/>
    <w:rsid w:val="008863D5"/>
    <w:rsid w:val="008932A1"/>
    <w:rsid w:val="008A79A3"/>
    <w:rsid w:val="008B052C"/>
    <w:rsid w:val="008B1B7C"/>
    <w:rsid w:val="00927180"/>
    <w:rsid w:val="00937AF6"/>
    <w:rsid w:val="00952DC0"/>
    <w:rsid w:val="009761EF"/>
    <w:rsid w:val="00983D7C"/>
    <w:rsid w:val="009A33A3"/>
    <w:rsid w:val="009A6E01"/>
    <w:rsid w:val="009B3214"/>
    <w:rsid w:val="009B6629"/>
    <w:rsid w:val="009E6429"/>
    <w:rsid w:val="009E7592"/>
    <w:rsid w:val="00A465BF"/>
    <w:rsid w:val="00A47F30"/>
    <w:rsid w:val="00A86E0A"/>
    <w:rsid w:val="00A916B8"/>
    <w:rsid w:val="00AC2BE0"/>
    <w:rsid w:val="00AF4DD4"/>
    <w:rsid w:val="00AF706C"/>
    <w:rsid w:val="00B239B3"/>
    <w:rsid w:val="00B70472"/>
    <w:rsid w:val="00B83E0F"/>
    <w:rsid w:val="00B8480C"/>
    <w:rsid w:val="00BE1995"/>
    <w:rsid w:val="00C86E09"/>
    <w:rsid w:val="00C87311"/>
    <w:rsid w:val="00C87A5E"/>
    <w:rsid w:val="00C92936"/>
    <w:rsid w:val="00CA47D4"/>
    <w:rsid w:val="00CC140D"/>
    <w:rsid w:val="00D00F24"/>
    <w:rsid w:val="00D040E7"/>
    <w:rsid w:val="00D10A0D"/>
    <w:rsid w:val="00D27F27"/>
    <w:rsid w:val="00D31BEF"/>
    <w:rsid w:val="00D4217E"/>
    <w:rsid w:val="00D5049E"/>
    <w:rsid w:val="00D60AE1"/>
    <w:rsid w:val="00D62C36"/>
    <w:rsid w:val="00D63303"/>
    <w:rsid w:val="00DD0A75"/>
    <w:rsid w:val="00DD1EB8"/>
    <w:rsid w:val="00DE2ED7"/>
    <w:rsid w:val="00E244A7"/>
    <w:rsid w:val="00E303EA"/>
    <w:rsid w:val="00E34A49"/>
    <w:rsid w:val="00E5303F"/>
    <w:rsid w:val="00E92B39"/>
    <w:rsid w:val="00EE321F"/>
    <w:rsid w:val="00F124E9"/>
    <w:rsid w:val="00F66EB6"/>
    <w:rsid w:val="00F91854"/>
    <w:rsid w:val="00FA30B1"/>
    <w:rsid w:val="00FB6053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2AF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 w:cs="Times New Roman"/>
      <w:kern w:val="2"/>
      <w:sz w:val="24"/>
      <w:lang w:bidi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/>
      <w:bCs/>
    </w:rPr>
  </w:style>
  <w:style w:type="character" w:customStyle="1" w:styleId="WW8Num2z0">
    <w:name w:val="WW8Num2z0"/>
    <w:qFormat/>
    <w:rPr>
      <w:b/>
      <w:bCs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Fontepargpadro">
    <w:name w:val="Fonte parág. padrão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  <w:rPr>
      <w:b/>
      <w:bCs/>
    </w:rPr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Fontepargpadro4">
    <w:name w:val="Fonte parág. padrão4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</w:style>
  <w:style w:type="character" w:customStyle="1" w:styleId="Fontepargpadro1">
    <w:name w:val="Fonte parág. padrão1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abealhoChar">
    <w:name w:val="Cabeçalho Char"/>
    <w:qFormat/>
    <w:rPr>
      <w:sz w:val="24"/>
      <w:szCs w:val="24"/>
    </w:rPr>
  </w:style>
  <w:style w:type="character" w:customStyle="1" w:styleId="RodapChar">
    <w:name w:val="Rodapé Char"/>
    <w:qFormat/>
    <w:rPr>
      <w:sz w:val="24"/>
      <w:szCs w:val="24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Refdenotaderodap1">
    <w:name w:val="Ref. de nota de rodapé1"/>
    <w:qFormat/>
    <w:rPr>
      <w:vertAlign w:val="superscript"/>
    </w:rPr>
  </w:style>
  <w:style w:type="character" w:customStyle="1" w:styleId="Caracteresdenotafinal">
    <w:name w:val="Caracteres de nota final"/>
    <w:qFormat/>
    <w:rPr>
      <w:vertAlign w:val="superscript"/>
    </w:rPr>
  </w:style>
  <w:style w:type="character" w:customStyle="1" w:styleId="NumberingSymbols">
    <w:name w:val="Numbering Symbols"/>
    <w:qFormat/>
    <w:rPr>
      <w:b/>
      <w:bCs/>
    </w:rPr>
  </w:style>
  <w:style w:type="character" w:customStyle="1" w:styleId="Refdenotadefim1">
    <w:name w:val="Ref. de nota de fim1"/>
    <w:qFormat/>
    <w:rPr>
      <w:vertAlign w:val="superscript"/>
    </w:rPr>
  </w:style>
  <w:style w:type="character" w:customStyle="1" w:styleId="Recuodecorpodetexto2Char">
    <w:name w:val="Recuo de corpo de texto 2 Char"/>
    <w:qFormat/>
    <w:rPr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Refdenotaderodap2">
    <w:name w:val="Ref. de nota de rodapé2"/>
    <w:qFormat/>
    <w:rPr>
      <w:vertAlign w:val="superscript"/>
    </w:rPr>
  </w:style>
  <w:style w:type="character" w:customStyle="1" w:styleId="Refdenotadefim2">
    <w:name w:val="Ref. de nota de fim2"/>
    <w:qFormat/>
    <w:rPr>
      <w:vertAlign w:val="superscript"/>
    </w:rPr>
  </w:style>
  <w:style w:type="character" w:customStyle="1" w:styleId="Refdenotaderodap3">
    <w:name w:val="Ref. de nota de rodapé3"/>
    <w:qFormat/>
    <w:rPr>
      <w:vertAlign w:val="superscript"/>
    </w:rPr>
  </w:style>
  <w:style w:type="character" w:customStyle="1" w:styleId="Refdenotadefim3">
    <w:name w:val="Ref. de nota de fim3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ncoradenotafinal">
    <w:name w:val="Âncora de nota final"/>
    <w:qFormat/>
    <w:rPr>
      <w:vertAlign w:val="superscript"/>
    </w:rPr>
  </w:style>
  <w:style w:type="character" w:styleId="Emphasis">
    <w:name w:val="Emphasis"/>
    <w:qFormat/>
    <w:rPr>
      <w:i/>
      <w:iCs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itle">
    <w:name w:val="Subtitle"/>
    <w:basedOn w:val="Cabealho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diceremissivo">
    <w:name w:val="Índice remissivo"/>
    <w:basedOn w:val="Normal"/>
    <w:qFormat/>
    <w:pPr>
      <w:suppressLineNumbers/>
    </w:pPr>
    <w:rPr>
      <w:rFonts w:cs="Mangal"/>
    </w:rPr>
  </w:style>
  <w:style w:type="paragraph" w:customStyle="1" w:styleId="Cabealho3">
    <w:name w:val="Cabeçalho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bealho2">
    <w:name w:val="Cabeçalho2"/>
    <w:basedOn w:val="Normal"/>
    <w:next w:val="Body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bealho1">
    <w:name w:val="Cabeçalho1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styleId="FootnoteText">
    <w:name w:val="footnote text"/>
    <w:basedOn w:val="Normal"/>
    <w:rPr>
      <w:sz w:val="20"/>
      <w:szCs w:val="20"/>
    </w:rPr>
  </w:style>
  <w:style w:type="paragraph" w:styleId="BodyTextIndent">
    <w:name w:val="Body Text Indent"/>
    <w:basedOn w:val="Normal"/>
    <w:pPr>
      <w:spacing w:after="120"/>
      <w:ind w:left="283"/>
    </w:pPr>
    <w:rPr>
      <w:sz w:val="20"/>
      <w:szCs w:val="20"/>
    </w:rPr>
  </w:style>
  <w:style w:type="paragraph" w:customStyle="1" w:styleId="WW-Cabealho">
    <w:name w:val="WW-Cabeçalho"/>
    <w:basedOn w:val="Normal"/>
    <w:qFormat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balo">
    <w:name w:val="Texto de balão"/>
    <w:basedOn w:val="Normal"/>
    <w:qFormat/>
    <w:rPr>
      <w:rFonts w:ascii="Tahoma" w:hAnsi="Tahoma" w:cs="Tahoma"/>
      <w:sz w:val="16"/>
      <w:szCs w:val="16"/>
    </w:rPr>
  </w:style>
  <w:style w:type="paragraph" w:customStyle="1" w:styleId="Ementa">
    <w:name w:val="Ementa"/>
    <w:qFormat/>
    <w:pPr>
      <w:widowControl w:val="0"/>
      <w:suppressAutoHyphens/>
      <w:autoSpaceDE w:val="0"/>
      <w:spacing w:line="360" w:lineRule="auto"/>
      <w:ind w:left="2835"/>
      <w:jc w:val="both"/>
    </w:pPr>
    <w:rPr>
      <w:rFonts w:eastAsia="Arial" w:cs="Times New Roman"/>
      <w:kern w:val="2"/>
      <w:sz w:val="26"/>
      <w:szCs w:val="26"/>
      <w:lang w:bidi="ar-SA"/>
    </w:rPr>
  </w:style>
  <w:style w:type="paragraph" w:styleId="EndnoteText">
    <w:name w:val="endnote text"/>
    <w:basedOn w:val="Normal"/>
    <w:rPr>
      <w:sz w:val="20"/>
      <w:szCs w:val="20"/>
    </w:rPr>
  </w:style>
  <w:style w:type="paragraph" w:customStyle="1" w:styleId="Recuodecorpodetexto21">
    <w:name w:val="Recuo de corpo de texto 21"/>
    <w:basedOn w:val="Normal"/>
    <w:qFormat/>
    <w:pPr>
      <w:spacing w:after="120" w:line="480" w:lineRule="auto"/>
      <w:ind w:left="283"/>
    </w:pPr>
  </w:style>
  <w:style w:type="paragraph" w:customStyle="1" w:styleId="sdfootnote">
    <w:name w:val="sdfootnote"/>
    <w:basedOn w:val="Normal"/>
    <w:qFormat/>
    <w:pPr>
      <w:suppressAutoHyphens w:val="0"/>
      <w:spacing w:before="280"/>
      <w:ind w:left="284" w:hanging="284"/>
    </w:pPr>
    <w:rPr>
      <w:sz w:val="20"/>
      <w:szCs w:val="20"/>
    </w:rPr>
  </w:style>
  <w:style w:type="paragraph" w:customStyle="1" w:styleId="LO-Normal">
    <w:name w:val="LO-Normal"/>
    <w:basedOn w:val="Normal"/>
    <w:qFormat/>
    <w:pPr>
      <w:autoSpaceDE w:val="0"/>
    </w:pPr>
    <w:rPr>
      <w:color w:val="000000"/>
      <w:lang w:bidi="hi-IN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Cabealhodatabela">
    <w:name w:val="Cabeçalho da tabela"/>
    <w:basedOn w:val="TableContents"/>
    <w:qFormat/>
    <w:pPr>
      <w:jc w:val="center"/>
    </w:pPr>
    <w:rPr>
      <w:b/>
      <w:bCs/>
    </w:rPr>
  </w:style>
  <w:style w:type="paragraph" w:customStyle="1" w:styleId="SemEspaamento">
    <w:name w:val="Sem Espaçamento"/>
    <w:qFormat/>
    <w:pPr>
      <w:suppressAutoHyphens/>
    </w:pPr>
    <w:rPr>
      <w:rFonts w:ascii="Calibri" w:eastAsia="Arial" w:hAnsi="Calibri" w:cs="Calibri"/>
      <w:kern w:val="2"/>
      <w:sz w:val="22"/>
      <w:szCs w:val="22"/>
      <w:lang w:bidi="ar-SA"/>
    </w:rPr>
  </w:style>
  <w:style w:type="paragraph" w:customStyle="1" w:styleId="FrameContents">
    <w:name w:val="Frame Contents"/>
    <w:basedOn w:val="BodyText"/>
    <w:qFormat/>
  </w:style>
  <w:style w:type="paragraph" w:customStyle="1" w:styleId="WW-Padro">
    <w:name w:val="WW-Padrão"/>
    <w:qFormat/>
    <w:pPr>
      <w:suppressAutoHyphens/>
      <w:spacing w:line="360" w:lineRule="auto"/>
      <w:jc w:val="both"/>
    </w:pPr>
    <w:rPr>
      <w:rFonts w:eastAsia="Times New Roman" w:cs="Times New Roman"/>
      <w:kern w:val="2"/>
      <w:sz w:val="22"/>
      <w:szCs w:val="22"/>
      <w:lang w:bidi="ar-SA"/>
    </w:rPr>
  </w:style>
  <w:style w:type="paragraph" w:customStyle="1" w:styleId="western">
    <w:name w:val="western"/>
    <w:basedOn w:val="Normal"/>
    <w:qFormat/>
    <w:pPr>
      <w:suppressAutoHyphens w:val="0"/>
      <w:spacing w:before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ListParagraph">
    <w:name w:val="List Paragraph"/>
    <w:basedOn w:val="Normal"/>
    <w:uiPriority w:val="34"/>
    <w:qFormat/>
    <w:rsid w:val="00F9185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61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 w:cs="Times New Roman"/>
      <w:kern w:val="2"/>
      <w:sz w:val="24"/>
      <w:lang w:bidi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/>
      <w:bCs/>
    </w:rPr>
  </w:style>
  <w:style w:type="character" w:customStyle="1" w:styleId="WW8Num2z0">
    <w:name w:val="WW8Num2z0"/>
    <w:qFormat/>
    <w:rPr>
      <w:b/>
      <w:bCs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Fontepargpadro">
    <w:name w:val="Fonte parág. padrão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  <w:rPr>
      <w:b/>
      <w:bCs/>
    </w:rPr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Fontepargpadro4">
    <w:name w:val="Fonte parág. padrão4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</w:style>
  <w:style w:type="character" w:customStyle="1" w:styleId="Fontepargpadro1">
    <w:name w:val="Fonte parág. padrão1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abealhoChar">
    <w:name w:val="Cabeçalho Char"/>
    <w:qFormat/>
    <w:rPr>
      <w:sz w:val="24"/>
      <w:szCs w:val="24"/>
    </w:rPr>
  </w:style>
  <w:style w:type="character" w:customStyle="1" w:styleId="RodapChar">
    <w:name w:val="Rodapé Char"/>
    <w:qFormat/>
    <w:rPr>
      <w:sz w:val="24"/>
      <w:szCs w:val="24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Refdenotaderodap1">
    <w:name w:val="Ref. de nota de rodapé1"/>
    <w:qFormat/>
    <w:rPr>
      <w:vertAlign w:val="superscript"/>
    </w:rPr>
  </w:style>
  <w:style w:type="character" w:customStyle="1" w:styleId="Caracteresdenotafinal">
    <w:name w:val="Caracteres de nota final"/>
    <w:qFormat/>
    <w:rPr>
      <w:vertAlign w:val="superscript"/>
    </w:rPr>
  </w:style>
  <w:style w:type="character" w:customStyle="1" w:styleId="NumberingSymbols">
    <w:name w:val="Numbering Symbols"/>
    <w:qFormat/>
    <w:rPr>
      <w:b/>
      <w:bCs/>
    </w:rPr>
  </w:style>
  <w:style w:type="character" w:customStyle="1" w:styleId="Refdenotadefim1">
    <w:name w:val="Ref. de nota de fim1"/>
    <w:qFormat/>
    <w:rPr>
      <w:vertAlign w:val="superscript"/>
    </w:rPr>
  </w:style>
  <w:style w:type="character" w:customStyle="1" w:styleId="Recuodecorpodetexto2Char">
    <w:name w:val="Recuo de corpo de texto 2 Char"/>
    <w:qFormat/>
    <w:rPr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Refdenotaderodap2">
    <w:name w:val="Ref. de nota de rodapé2"/>
    <w:qFormat/>
    <w:rPr>
      <w:vertAlign w:val="superscript"/>
    </w:rPr>
  </w:style>
  <w:style w:type="character" w:customStyle="1" w:styleId="Refdenotadefim2">
    <w:name w:val="Ref. de nota de fim2"/>
    <w:qFormat/>
    <w:rPr>
      <w:vertAlign w:val="superscript"/>
    </w:rPr>
  </w:style>
  <w:style w:type="character" w:customStyle="1" w:styleId="Refdenotaderodap3">
    <w:name w:val="Ref. de nota de rodapé3"/>
    <w:qFormat/>
    <w:rPr>
      <w:vertAlign w:val="superscript"/>
    </w:rPr>
  </w:style>
  <w:style w:type="character" w:customStyle="1" w:styleId="Refdenotadefim3">
    <w:name w:val="Ref. de nota de fim3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ncoradenotafinal">
    <w:name w:val="Âncora de nota final"/>
    <w:qFormat/>
    <w:rPr>
      <w:vertAlign w:val="superscript"/>
    </w:rPr>
  </w:style>
  <w:style w:type="character" w:styleId="Emphasis">
    <w:name w:val="Emphasis"/>
    <w:qFormat/>
    <w:rPr>
      <w:i/>
      <w:iCs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itle">
    <w:name w:val="Subtitle"/>
    <w:basedOn w:val="Cabealho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diceremissivo">
    <w:name w:val="Índice remissivo"/>
    <w:basedOn w:val="Normal"/>
    <w:qFormat/>
    <w:pPr>
      <w:suppressLineNumbers/>
    </w:pPr>
    <w:rPr>
      <w:rFonts w:cs="Mangal"/>
    </w:rPr>
  </w:style>
  <w:style w:type="paragraph" w:customStyle="1" w:styleId="Cabealho3">
    <w:name w:val="Cabeçalho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bealho2">
    <w:name w:val="Cabeçalho2"/>
    <w:basedOn w:val="Normal"/>
    <w:next w:val="Body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bealho1">
    <w:name w:val="Cabeçalho1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styleId="FootnoteText">
    <w:name w:val="footnote text"/>
    <w:basedOn w:val="Normal"/>
    <w:rPr>
      <w:sz w:val="20"/>
      <w:szCs w:val="20"/>
    </w:rPr>
  </w:style>
  <w:style w:type="paragraph" w:styleId="BodyTextIndent">
    <w:name w:val="Body Text Indent"/>
    <w:basedOn w:val="Normal"/>
    <w:pPr>
      <w:spacing w:after="120"/>
      <w:ind w:left="283"/>
    </w:pPr>
    <w:rPr>
      <w:sz w:val="20"/>
      <w:szCs w:val="20"/>
    </w:rPr>
  </w:style>
  <w:style w:type="paragraph" w:customStyle="1" w:styleId="WW-Cabealho">
    <w:name w:val="WW-Cabeçalho"/>
    <w:basedOn w:val="Normal"/>
    <w:qFormat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balo">
    <w:name w:val="Texto de balão"/>
    <w:basedOn w:val="Normal"/>
    <w:qFormat/>
    <w:rPr>
      <w:rFonts w:ascii="Tahoma" w:hAnsi="Tahoma" w:cs="Tahoma"/>
      <w:sz w:val="16"/>
      <w:szCs w:val="16"/>
    </w:rPr>
  </w:style>
  <w:style w:type="paragraph" w:customStyle="1" w:styleId="Ementa">
    <w:name w:val="Ementa"/>
    <w:qFormat/>
    <w:pPr>
      <w:widowControl w:val="0"/>
      <w:suppressAutoHyphens/>
      <w:autoSpaceDE w:val="0"/>
      <w:spacing w:line="360" w:lineRule="auto"/>
      <w:ind w:left="2835"/>
      <w:jc w:val="both"/>
    </w:pPr>
    <w:rPr>
      <w:rFonts w:eastAsia="Arial" w:cs="Times New Roman"/>
      <w:kern w:val="2"/>
      <w:sz w:val="26"/>
      <w:szCs w:val="26"/>
      <w:lang w:bidi="ar-SA"/>
    </w:rPr>
  </w:style>
  <w:style w:type="paragraph" w:styleId="EndnoteText">
    <w:name w:val="endnote text"/>
    <w:basedOn w:val="Normal"/>
    <w:rPr>
      <w:sz w:val="20"/>
      <w:szCs w:val="20"/>
    </w:rPr>
  </w:style>
  <w:style w:type="paragraph" w:customStyle="1" w:styleId="Recuodecorpodetexto21">
    <w:name w:val="Recuo de corpo de texto 21"/>
    <w:basedOn w:val="Normal"/>
    <w:qFormat/>
    <w:pPr>
      <w:spacing w:after="120" w:line="480" w:lineRule="auto"/>
      <w:ind w:left="283"/>
    </w:pPr>
  </w:style>
  <w:style w:type="paragraph" w:customStyle="1" w:styleId="sdfootnote">
    <w:name w:val="sdfootnote"/>
    <w:basedOn w:val="Normal"/>
    <w:qFormat/>
    <w:pPr>
      <w:suppressAutoHyphens w:val="0"/>
      <w:spacing w:before="280"/>
      <w:ind w:left="284" w:hanging="284"/>
    </w:pPr>
    <w:rPr>
      <w:sz w:val="20"/>
      <w:szCs w:val="20"/>
    </w:rPr>
  </w:style>
  <w:style w:type="paragraph" w:customStyle="1" w:styleId="LO-Normal">
    <w:name w:val="LO-Normal"/>
    <w:basedOn w:val="Normal"/>
    <w:qFormat/>
    <w:pPr>
      <w:autoSpaceDE w:val="0"/>
    </w:pPr>
    <w:rPr>
      <w:color w:val="000000"/>
      <w:lang w:bidi="hi-IN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Cabealhodatabela">
    <w:name w:val="Cabeçalho da tabela"/>
    <w:basedOn w:val="TableContents"/>
    <w:qFormat/>
    <w:pPr>
      <w:jc w:val="center"/>
    </w:pPr>
    <w:rPr>
      <w:b/>
      <w:bCs/>
    </w:rPr>
  </w:style>
  <w:style w:type="paragraph" w:customStyle="1" w:styleId="SemEspaamento">
    <w:name w:val="Sem Espaçamento"/>
    <w:qFormat/>
    <w:pPr>
      <w:suppressAutoHyphens/>
    </w:pPr>
    <w:rPr>
      <w:rFonts w:ascii="Calibri" w:eastAsia="Arial" w:hAnsi="Calibri" w:cs="Calibri"/>
      <w:kern w:val="2"/>
      <w:sz w:val="22"/>
      <w:szCs w:val="22"/>
      <w:lang w:bidi="ar-SA"/>
    </w:rPr>
  </w:style>
  <w:style w:type="paragraph" w:customStyle="1" w:styleId="FrameContents">
    <w:name w:val="Frame Contents"/>
    <w:basedOn w:val="BodyText"/>
    <w:qFormat/>
  </w:style>
  <w:style w:type="paragraph" w:customStyle="1" w:styleId="WW-Padro">
    <w:name w:val="WW-Padrão"/>
    <w:qFormat/>
    <w:pPr>
      <w:suppressAutoHyphens/>
      <w:spacing w:line="360" w:lineRule="auto"/>
      <w:jc w:val="both"/>
    </w:pPr>
    <w:rPr>
      <w:rFonts w:eastAsia="Times New Roman" w:cs="Times New Roman"/>
      <w:kern w:val="2"/>
      <w:sz w:val="22"/>
      <w:szCs w:val="22"/>
      <w:lang w:bidi="ar-SA"/>
    </w:rPr>
  </w:style>
  <w:style w:type="paragraph" w:customStyle="1" w:styleId="western">
    <w:name w:val="western"/>
    <w:basedOn w:val="Normal"/>
    <w:qFormat/>
    <w:pPr>
      <w:suppressAutoHyphens w:val="0"/>
      <w:spacing w:before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ListParagraph">
    <w:name w:val="List Paragraph"/>
    <w:basedOn w:val="Normal"/>
    <w:uiPriority w:val="34"/>
    <w:qFormat/>
    <w:rsid w:val="00F9185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61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ntTable" Target="fontTable.xml"/><Relationship Id="rId13" Type="http://schemas.openxmlformats.org/officeDocument/2006/relationships/hyperlink" Target="http://www.jusbrasil.com.br/topicos/10569776/artigo-161-da-lei-n-5172-de-25-de-outubro-de-1966" TargetMode="External"/><Relationship Id="rId18" Type="http://schemas.openxmlformats.org/officeDocument/2006/relationships/hyperlink" Target="http://www.jusbrasil.com.br/legislacao/174276278/lei-13105-15" TargetMode="External"/><Relationship Id="rId8" Type="http://schemas.openxmlformats.org/officeDocument/2006/relationships/hyperlink" Target="http://www.jusbrasil.com.br/legislacao/91735/c&#243;digo-processo-civil-lei-5869-73" TargetMode="External"/><Relationship Id="rId21" Type="http://schemas.openxmlformats.org/officeDocument/2006/relationships/hyperlink" Target="http://www.jusbrasil.com.br/topicos/28894124/artigo-292-da-lei-n-13105-de-16-de-marco-de-2015" TargetMode="External"/><Relationship Id="rId3" Type="http://schemas.microsoft.com/office/2007/relationships/stylesWithEffects" Target="stylesWithEffects.xml"/><Relationship Id="rId25" Type="http://schemas.openxmlformats.org/officeDocument/2006/relationships/footer" Target="footer1.xml"/><Relationship Id="rId12" Type="http://schemas.openxmlformats.org/officeDocument/2006/relationships/hyperlink" Target="http://www.jusbrasil.com.br/legislacao/128292/lei-da-corre&#231;&#227;o-monet&#225;ria-em-ju&#237;zo-lei-6899-81" TargetMode="External"/><Relationship Id="rId17" Type="http://schemas.openxmlformats.org/officeDocument/2006/relationships/hyperlink" Target="http://www.jusbrasil.com.br/topicos/28893817/artigo-319-da-lei-n-13105-de-16-de-marco-de-2015" TargetMode="External"/><Relationship Id="rId7" Type="http://schemas.openxmlformats.org/officeDocument/2006/relationships/endnotes" Target="endnotes.xml"/><Relationship Id="rId20" Type="http://schemas.openxmlformats.org/officeDocument/2006/relationships/hyperlink" Target="http://www.jusbrasil.com.br/topicos/28893802/inciso-v-do-artigo-319-da-lei-n-13105-de-16-de-marco-de-2015" TargetMode="External"/><Relationship Id="rId16" Type="http://schemas.openxmlformats.org/officeDocument/2006/relationships/hyperlink" Target="http://www.jusbrasil.com.br/topicos/28893793/inciso-vii-do-artigo-319-da-lei-n-13105-de-16-de-marco-de-2015" TargetMode="External"/><Relationship Id="rId2" Type="http://schemas.openxmlformats.org/officeDocument/2006/relationships/styles" Target="styles.xml"/><Relationship Id="rId29" Type="http://schemas.openxmlformats.org/officeDocument/2006/relationships/customXml" Target="../customXml/item2.xml"/><Relationship Id="rId24" Type="http://schemas.openxmlformats.org/officeDocument/2006/relationships/header" Target="header1.xml"/><Relationship Id="rId11" Type="http://schemas.openxmlformats.org/officeDocument/2006/relationships/hyperlink" Target="http://www.jusbrasil.com.br/legislacao/174276278/lei-13105-1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://www.jusbrasil.com.br/legislacao/174276278/lei-13105-15" TargetMode="External"/><Relationship Id="rId15" Type="http://schemas.openxmlformats.org/officeDocument/2006/relationships/hyperlink" Target="http://www.jusbrasil.com.br/legislacao/111984008/c&#243;digo-tribut&#225;rio-nacional-lei-5172-66" TargetMode="External"/><Relationship Id="rId5" Type="http://schemas.openxmlformats.org/officeDocument/2006/relationships/webSettings" Target="webSettings.xml"/><Relationship Id="rId28" Type="http://schemas.openxmlformats.org/officeDocument/2006/relationships/customXml" Target="../customXml/item1.xml"/><Relationship Id="rId10" Type="http://schemas.openxmlformats.org/officeDocument/2006/relationships/hyperlink" Target="http://www.jusbrasil.com.br/topicos/28891592/artigo-534-da-lei-n-13105-de-16-de-marco-de-2015" TargetMode="External"/><Relationship Id="rId19" Type="http://schemas.openxmlformats.org/officeDocument/2006/relationships/hyperlink" Target="http://www.jusbrasil.com.br/topicos/28893817/artigo-319-da-lei-n-13105-de-16-de-marco-de-2015" TargetMode="External"/><Relationship Id="rId9" Type="http://schemas.openxmlformats.org/officeDocument/2006/relationships/hyperlink" Target="http://www.jusbrasil.com.br/topicos/10681445/artigo-523-da-lei-n-5869-de-11-de-janeiro-de-1973" TargetMode="External"/><Relationship Id="rId22" Type="http://schemas.openxmlformats.org/officeDocument/2006/relationships/hyperlink" Target="http://www.jusbrasil.com.br/topicos/28894119/inciso-ii-do-artigo-292-da-lei-n-13105-de-16-de-marco-de-2015" TargetMode="External"/><Relationship Id="rId27" Type="http://schemas.openxmlformats.org/officeDocument/2006/relationships/theme" Target="theme/theme1.xml"/><Relationship Id="rId14" Type="http://schemas.openxmlformats.org/officeDocument/2006/relationships/hyperlink" Target="http://www.jusbrasil.com.br/topicos/10569743/par&#225;grafo-1-artigo-161-da-lei-n-5172-de-25-de-outubro-de-1966" TargetMode="External"/><Relationship Id="rId4" Type="http://schemas.openxmlformats.org/officeDocument/2006/relationships/settings" Target="settings.xml"/><Relationship Id="rId30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AB3F3A556C4F49800754C74BAE2CCB" ma:contentTypeVersion="20" ma:contentTypeDescription="Crie um novo documento." ma:contentTypeScope="" ma:versionID="2ce43b698a297870fb6c6eea1f358ba3">
  <xsd:schema xmlns:xsd="http://www.w3.org/2001/XMLSchema" xmlns:xs="http://www.w3.org/2001/XMLSchema" xmlns:p="http://schemas.microsoft.com/office/2006/metadata/properties" xmlns:ns2="e8b43b67-cc43-42df-a04f-3356f259a961" xmlns:ns3="d13bb590-1922-4eb5-b94b-95a00cc0c153" targetNamespace="http://schemas.microsoft.com/office/2006/metadata/properties" ma:root="true" ma:fieldsID="82ab207ede09f47e54c2d215db30a497" ns2:_="" ns3:_="">
    <xsd:import namespace="e8b43b67-cc43-42df-a04f-3356f259a961"/>
    <xsd:import namespace="d13bb590-1922-4eb5-b94b-95a00cc0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Situa_x00e7__x00e3_o" minOccurs="0"/>
                <xsd:element ref="ns2:Ok" minOccurs="0"/>
                <xsd:element ref="ns2:JUNTADONOSIMP" minOccurs="0"/>
                <xsd:element ref="ns2: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43b67-cc43-42df-a04f-3356f259a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Situa_x00e7__x00e3_o" ma:index="20" nillable="true" ma:displayName="Situação" ma:format="Dropdown" ma:hidden="true" ma:internalName="Situa_x00e7__x00e3_o" ma:readOnly="false">
      <xsd:simpleType>
        <xsd:union memberTypes="dms:Text">
          <xsd:simpleType>
            <xsd:restriction base="dms:Choice">
              <xsd:enumeration value="Erro"/>
              <xsd:enumeration value="Ok"/>
              <xsd:enumeration value="Falta"/>
            </xsd:restriction>
          </xsd:simpleType>
        </xsd:union>
      </xsd:simpleType>
    </xsd:element>
    <xsd:element name="Ok" ma:index="21" nillable="true" ma:displayName="Ok" ma:format="Dropdown" ma:hidden="true" ma:internalName="Ok" ma:readOnly="false">
      <xsd:simpleType>
        <xsd:restriction base="dms:Choice">
          <xsd:enumeration value="Conforme"/>
          <xsd:enumeration value="Agurandando"/>
          <xsd:enumeration value="Erro"/>
        </xsd:restriction>
      </xsd:simpleType>
    </xsd:element>
    <xsd:element name="JUNTADONOSIMP" ma:index="22" nillable="true" ma:displayName="JUNTADO NO SIMP" ma:default="0" ma:format="Dropdown" ma:internalName="JUNTADONOSIMP">
      <xsd:simpleType>
        <xsd:restriction base="dms:Boolean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ARQUIVADO"/>
          <xsd:enumeration value="DÍVIDA ATIVA"/>
          <xsd:enumeration value="Escolha 3 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b590-1922-4eb5-b94b-95a00cc0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ú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UNTADONOSIMP xmlns="e8b43b67-cc43-42df-a04f-3356f259a961">false</JUNTADONOSIMP>
    <Ok xmlns="e8b43b67-cc43-42df-a04f-3356f259a961" xsi:nil="true"/>
    <Situa_x00e7__x00e3_o xmlns="e8b43b67-cc43-42df-a04f-3356f259a961" xsi:nil="true"/>
    <STATUS xmlns="e8b43b67-cc43-42df-a04f-3356f259a961" xsi:nil="true"/>
  </documentManagement>
</p:properties>
</file>

<file path=customXml/itemProps1.xml><?xml version="1.0" encoding="utf-8"?>
<ds:datastoreItem xmlns:ds="http://schemas.openxmlformats.org/officeDocument/2006/customXml" ds:itemID="{681EA309-1670-4DC7-A22F-A87848AAAEC3}"/>
</file>

<file path=customXml/itemProps2.xml><?xml version="1.0" encoding="utf-8"?>
<ds:datastoreItem xmlns:ds="http://schemas.openxmlformats.org/officeDocument/2006/customXml" ds:itemID="{2C449811-D6ED-48A1-88B0-2140F7F40F92}"/>
</file>

<file path=customXml/itemProps3.xml><?xml version="1.0" encoding="utf-8"?>
<ds:datastoreItem xmlns:ds="http://schemas.openxmlformats.org/officeDocument/2006/customXml" ds:itemID="{986E82DB-9C71-42CB-B365-7252A40AAB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3427</Words>
  <Characters>19535</Characters>
  <Application>Microsoft Macintosh Word</Application>
  <DocSecurity>0</DocSecurity>
  <Lines>162</Lines>
  <Paragraphs>45</Paragraphs>
  <ScaleCrop>false</ScaleCrop>
  <Company>luisamarquess</Company>
  <LinksUpToDate>false</LinksUpToDate>
  <CharactersWithSpaces>22917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JUIZ DE DIREITO DO JUIZADO ESPECIAL - ZONA CENTRO – DA COMARCA DE TERESINA, PI</dc:title>
  <dc:subject/>
  <dc:creator>Luisa Marques</dc:creator>
  <dc:description/>
  <cp:lastModifiedBy>Luisa Marques</cp:lastModifiedBy>
  <cp:revision>6</cp:revision>
  <cp:lastPrinted>2020-06-15T12:28:00Z</cp:lastPrinted>
  <dcterms:created xsi:type="dcterms:W3CDTF">2020-06-15T12:28:00Z</dcterms:created>
  <dcterms:modified xsi:type="dcterms:W3CDTF">2020-06-15T17:58:00Z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??es 1">
    <vt:lpwstr/>
  </property>
  <property fmtid="{D5CDD505-2E9C-101B-9397-08002B2CF9AE}" pid="3" name="Informa??es 2">
    <vt:lpwstr/>
  </property>
  <property fmtid="{D5CDD505-2E9C-101B-9397-08002B2CF9AE}" pid="4" name="Informa??es 3">
    <vt:lpwstr/>
  </property>
  <property fmtid="{D5CDD505-2E9C-101B-9397-08002B2CF9AE}" pid="5" name="Informa??es 4">
    <vt:lpwstr/>
  </property>
  <property fmtid="{D5CDD505-2E9C-101B-9397-08002B2CF9AE}" pid="6" name="ContentTypeId">
    <vt:lpwstr>0x01010014AB3F3A556C4F49800754C74BAE2CCB</vt:lpwstr>
  </property>
</Properties>
</file>