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6C6DCB54" w:rsidP="6C6DCB54" w:rsidRDefault="6C6DCB54" w14:paraId="59B943AD" w14:textId="49C61476">
      <w:pPr>
        <w:jc w:val="both"/>
        <w:rPr>
          <w:sz w:val="22"/>
          <w:szCs w:val="22"/>
        </w:rPr>
      </w:pPr>
      <w:r w:rsidRPr="5AF7121D" w:rsidR="5C0AEDD9">
        <w:rPr>
          <w:sz w:val="22"/>
          <w:szCs w:val="22"/>
        </w:rPr>
        <w:t>Investigação Preliminar</w:t>
      </w:r>
      <w:r w:rsidRPr="5AF7121D" w:rsidR="6C6DCB54">
        <w:rPr>
          <w:sz w:val="22"/>
          <w:szCs w:val="22"/>
        </w:rPr>
        <w:t xml:space="preserve"> nº: _________________________</w:t>
      </w:r>
    </w:p>
    <w:p w:rsidR="00DF3B60" w:rsidRDefault="001C7E2F" w14:paraId="38501F79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Reclamado/Fornecedor: ____________________________</w:t>
      </w:r>
    </w:p>
    <w:p w:rsidR="00DF3B60" w:rsidRDefault="001C7E2F" w14:paraId="16EC9236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Nome Fantasia: ___________________________________</w:t>
      </w:r>
    </w:p>
    <w:p w:rsidR="00DF3B60" w:rsidRDefault="00DF3B60" w14:paraId="672A6659" w14:textId="77777777">
      <w:pPr>
        <w:jc w:val="both"/>
        <w:rPr>
          <w:sz w:val="22"/>
          <w:szCs w:val="22"/>
        </w:rPr>
      </w:pPr>
    </w:p>
    <w:p w:rsidR="00DF3B60" w:rsidRDefault="00DF3B60" w14:paraId="0A37501D" w14:textId="77777777">
      <w:pPr>
        <w:jc w:val="both"/>
        <w:rPr>
          <w:sz w:val="22"/>
          <w:szCs w:val="22"/>
        </w:rPr>
      </w:pPr>
    </w:p>
    <w:p w:rsidR="00DF3B60" w:rsidRDefault="001C7E2F" w14:paraId="77764C43" w14:textId="77777777">
      <w:pPr>
        <w:pStyle w:val="Ttulo1"/>
        <w:rPr>
          <w:sz w:val="22"/>
          <w:szCs w:val="22"/>
        </w:rPr>
      </w:pPr>
      <w:r>
        <w:rPr>
          <w:sz w:val="22"/>
          <w:szCs w:val="22"/>
        </w:rPr>
        <w:t>PORTARIA DE INSTAURAÇÃO</w:t>
      </w:r>
    </w:p>
    <w:p w:rsidR="00DF3B60" w:rsidP="25FCD39E" w:rsidRDefault="5F83A42D" w14:paraId="21CA0A3B" w14:textId="0416DAFA">
      <w:pPr>
        <w:pStyle w:val="Ttulo1"/>
        <w:rPr>
          <w:sz w:val="22"/>
          <w:szCs w:val="22"/>
        </w:rPr>
      </w:pPr>
      <w:r w:rsidRPr="25FCD39E">
        <w:rPr>
          <w:sz w:val="22"/>
          <w:szCs w:val="22"/>
        </w:rPr>
        <w:t xml:space="preserve">IP Nº </w:t>
      </w:r>
    </w:p>
    <w:p w:rsidR="00DF3B60" w:rsidRDefault="00DF3B60" w14:paraId="5DAB6C7B" w14:textId="77777777">
      <w:pPr>
        <w:rPr>
          <w:sz w:val="22"/>
          <w:szCs w:val="22"/>
        </w:rPr>
      </w:pPr>
    </w:p>
    <w:p w:rsidR="00DF3B60" w:rsidP="00C42BE1" w:rsidRDefault="001C7E2F" w14:paraId="4ED6615C" w14:textId="77777777">
      <w:pPr>
        <w:jc w:val="both"/>
      </w:pPr>
      <w:r>
        <w:rPr>
          <w:sz w:val="22"/>
          <w:szCs w:val="22"/>
        </w:rPr>
        <w:t>O MINISTÉRIO PÚBLICO DO ESTADO DO PIAUÍ, por sua representante que esta subscreve, no exercício de suas funções legais, e constitucionais, especialmente escudado nos incisos I, II, V, VIIX, XI e XVI, do art. 5º, da Lei Complementar Estadual n° 36/2004 e ar</w:t>
      </w:r>
      <w:r>
        <w:rPr>
          <w:sz w:val="22"/>
          <w:szCs w:val="22"/>
        </w:rPr>
        <w:t>t. 7º do Ato Conjunto PGJ/Procon nº 04/2020,</w:t>
      </w:r>
    </w:p>
    <w:p w:rsidR="00DF3B60" w:rsidRDefault="00DF3B60" w14:paraId="02EB378F" w14:textId="77777777">
      <w:pPr>
        <w:jc w:val="center"/>
        <w:rPr>
          <w:sz w:val="22"/>
          <w:szCs w:val="22"/>
        </w:rPr>
      </w:pPr>
    </w:p>
    <w:p w:rsidR="00DF3B60" w:rsidRDefault="001C7E2F" w14:paraId="034ED4EF" w14:textId="77777777">
      <w:pPr>
        <w:pStyle w:val="Ttulo2"/>
        <w:rPr>
          <w:sz w:val="22"/>
          <w:szCs w:val="22"/>
        </w:rPr>
      </w:pPr>
      <w:r>
        <w:rPr>
          <w:sz w:val="22"/>
          <w:szCs w:val="22"/>
        </w:rPr>
        <w:t>I – Relatório</w:t>
      </w:r>
    </w:p>
    <w:p w:rsidR="00DF3B60" w:rsidRDefault="00DF3B60" w14:paraId="6A05A809" w14:textId="77777777">
      <w:pPr>
        <w:jc w:val="both"/>
        <w:rPr>
          <w:sz w:val="22"/>
          <w:szCs w:val="22"/>
        </w:rPr>
      </w:pPr>
    </w:p>
    <w:p w:rsidR="00DF3B60" w:rsidRDefault="11577B13" w14:paraId="3BF7167D" w14:textId="3BD1DED9">
      <w:pPr>
        <w:jc w:val="both"/>
        <w:rPr>
          <w:sz w:val="22"/>
          <w:szCs w:val="22"/>
        </w:rPr>
      </w:pPr>
      <w:r w:rsidRPr="11577B13">
        <w:rPr>
          <w:sz w:val="22"/>
          <w:szCs w:val="22"/>
        </w:rPr>
        <w:t xml:space="preserve">Cuida-se de investigação preliminar instaurado no âmbito do PROGRAMA ESTADUAL DE PROTEÇÃO E DEFESA DO CONSUMIDOR – PROCON-MPPI </w:t>
      </w:r>
      <w:r w:rsidRPr="11577B13">
        <w:rPr>
          <w:sz w:val="22"/>
          <w:szCs w:val="22"/>
          <w:highlight w:val="green"/>
        </w:rPr>
        <w:t>(PROMOTORIA DE JUSTIÇA)</w:t>
      </w:r>
      <w:r w:rsidRPr="11577B13">
        <w:rPr>
          <w:sz w:val="22"/>
          <w:szCs w:val="22"/>
        </w:rPr>
        <w:t xml:space="preserve">, para a apuração da prática de infrações administrativas às normas de defesa do consumidor pelo fornecedor __________________________________, nome fantasia ___________________, inscrita no CNPJ sob o nº _______________________, situada à _________________________________.  </w:t>
      </w:r>
    </w:p>
    <w:p w:rsidR="00DF3B60" w:rsidRDefault="00DF3B60" w14:paraId="5A39BBE3" w14:textId="77777777">
      <w:pPr>
        <w:jc w:val="both"/>
        <w:rPr>
          <w:sz w:val="22"/>
          <w:szCs w:val="22"/>
        </w:rPr>
      </w:pPr>
    </w:p>
    <w:p w:rsidR="00DF3B60" w:rsidRDefault="001C7E2F" w14:paraId="14F09D8D" w14:textId="77777777">
      <w:pPr>
        <w:jc w:val="both"/>
        <w:rPr>
          <w:sz w:val="22"/>
          <w:szCs w:val="22"/>
        </w:rPr>
      </w:pPr>
      <w:r>
        <w:rPr>
          <w:sz w:val="22"/>
          <w:szCs w:val="22"/>
          <w:highlight w:val="green"/>
        </w:rPr>
        <w:t>(Se baseado em notícias</w:t>
      </w:r>
      <w:r>
        <w:rPr>
          <w:sz w:val="22"/>
          <w:szCs w:val="22"/>
          <w:highlight w:val="green"/>
        </w:rPr>
        <w:t xml:space="preserve"> – De ofício da autoridade competente)</w:t>
      </w:r>
    </w:p>
    <w:p w:rsidR="00DF3B60" w:rsidRDefault="001C7E2F" w14:paraId="3421136D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Segundo informações colhidas/aportadas ao Procon-</w:t>
      </w:r>
      <w:proofErr w:type="spellStart"/>
      <w:r>
        <w:rPr>
          <w:sz w:val="22"/>
          <w:szCs w:val="22"/>
        </w:rPr>
        <w:t>Mppi</w:t>
      </w:r>
      <w:proofErr w:type="spellEnd"/>
      <w:r>
        <w:rPr>
          <w:sz w:val="22"/>
          <w:szCs w:val="22"/>
        </w:rPr>
        <w:t xml:space="preserve"> e de acordo com o monitoramento que o órgão faz do mercado consumidor em __________________, a empresa indicada descumpre o direito básico de informação dos consum</w:t>
      </w:r>
      <w:r>
        <w:rPr>
          <w:sz w:val="22"/>
          <w:szCs w:val="22"/>
        </w:rPr>
        <w:t xml:space="preserve">idores (artigo 6º, III, c/c artigo 31, Código de Defesa do Consumidor), bem como as normas sobre “precificação”, previstas, respectivamente, na intitulada “Lei das Etiquetas” (Lei Federal nº 10.962/2004) e no Decreto Federal nº 5.903/2006. </w:t>
      </w:r>
    </w:p>
    <w:p w:rsidR="00DF3B60" w:rsidRDefault="00DF3B60" w14:paraId="41C8F396" w14:textId="77777777">
      <w:pPr>
        <w:jc w:val="both"/>
        <w:rPr>
          <w:sz w:val="22"/>
          <w:szCs w:val="22"/>
        </w:rPr>
      </w:pPr>
    </w:p>
    <w:p w:rsidR="00DF3B60" w:rsidRDefault="001C7E2F" w14:paraId="6B6E57B5" w14:textId="77777777">
      <w:pPr>
        <w:jc w:val="both"/>
        <w:rPr>
          <w:sz w:val="22"/>
          <w:szCs w:val="22"/>
        </w:rPr>
      </w:pPr>
      <w:r>
        <w:rPr>
          <w:sz w:val="22"/>
          <w:szCs w:val="22"/>
          <w:highlight w:val="green"/>
        </w:rPr>
        <w:t>(Se baseado em</w:t>
      </w:r>
      <w:r>
        <w:rPr>
          <w:sz w:val="22"/>
          <w:szCs w:val="22"/>
          <w:highlight w:val="green"/>
        </w:rPr>
        <w:t xml:space="preserve"> ações fiscalizatórias – Auto de Constatação/Advertência ou Infração)</w:t>
      </w:r>
    </w:p>
    <w:p w:rsidR="00DF3B60" w:rsidRDefault="001C7E2F" w14:paraId="60988B6A" w14:textId="7789F29B">
      <w:pPr>
        <w:jc w:val="both"/>
        <w:rPr>
          <w:sz w:val="22"/>
          <w:szCs w:val="22"/>
        </w:rPr>
      </w:pPr>
      <w:r>
        <w:rPr>
          <w:sz w:val="22"/>
          <w:szCs w:val="22"/>
        </w:rPr>
        <w:t>Conforme ações fiscalizatórias realizadas/reclamações recebidas pelo PROCON ESTADUAL-Localidade/considerando que é notória a ausência de precificação nesta localidade, tem-se verificado,</w:t>
      </w:r>
      <w:r>
        <w:rPr>
          <w:sz w:val="22"/>
          <w:szCs w:val="22"/>
        </w:rPr>
        <w:t xml:space="preserve"> quanto à empresa indicada, o descumprimento reiterado das regras que dispõem sobre o dever de expor de maneira clara, precisa e ostensiva as informações sobre os preços dos produtos e/ou serviços.</w:t>
      </w:r>
      <w:r>
        <w:rPr>
          <w:rStyle w:val="ncoradanotaderodap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</w:p>
    <w:p w:rsidR="00DF3B60" w:rsidRDefault="00DF3B60" w14:paraId="72A3D3EC" w14:textId="77777777">
      <w:pPr>
        <w:jc w:val="both"/>
        <w:rPr>
          <w:sz w:val="22"/>
          <w:szCs w:val="22"/>
        </w:rPr>
      </w:pPr>
    </w:p>
    <w:p w:rsidR="00DF3B60" w:rsidRDefault="001C7E2F" w14:paraId="4FA84561" w14:textId="77777777">
      <w:pPr>
        <w:pStyle w:val="Recuodecorpodetexto31"/>
        <w:ind w:firstLine="0"/>
        <w:rPr>
          <w:sz w:val="22"/>
          <w:szCs w:val="22"/>
        </w:rPr>
      </w:pPr>
      <w:r>
        <w:rPr>
          <w:sz w:val="22"/>
          <w:szCs w:val="22"/>
          <w:highlight w:val="green"/>
        </w:rPr>
        <w:t>(Se fundamentado em reclamações, denúncias, represent</w:t>
      </w:r>
      <w:r>
        <w:rPr>
          <w:sz w:val="22"/>
          <w:szCs w:val="22"/>
          <w:highlight w:val="green"/>
        </w:rPr>
        <w:t>ações)</w:t>
      </w:r>
    </w:p>
    <w:p w:rsidR="00DF3B60" w:rsidRDefault="001C7E2F" w14:paraId="409A8CAC" w14:textId="77777777">
      <w:pPr>
        <w:pStyle w:val="Recuodecorpodetexto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Consoante os fatos aportados nesta </w:t>
      </w:r>
      <w:r>
        <w:rPr>
          <w:sz w:val="22"/>
          <w:szCs w:val="22"/>
          <w:highlight w:val="green"/>
        </w:rPr>
        <w:t>Promotoria de Justiça</w:t>
      </w:r>
      <w:r>
        <w:rPr>
          <w:sz w:val="22"/>
          <w:szCs w:val="22"/>
        </w:rPr>
        <w:t xml:space="preserve">, acerca da </w:t>
      </w:r>
      <w:r>
        <w:rPr>
          <w:sz w:val="22"/>
          <w:szCs w:val="22"/>
          <w:highlight w:val="green"/>
        </w:rPr>
        <w:t xml:space="preserve">reclamação </w:t>
      </w:r>
      <w:proofErr w:type="spellStart"/>
      <w:r>
        <w:rPr>
          <w:sz w:val="22"/>
          <w:szCs w:val="22"/>
          <w:highlight w:val="green"/>
        </w:rPr>
        <w:t>Simp</w:t>
      </w:r>
      <w:proofErr w:type="spellEnd"/>
      <w:r>
        <w:rPr>
          <w:sz w:val="22"/>
          <w:szCs w:val="22"/>
          <w:highlight w:val="green"/>
        </w:rPr>
        <w:t xml:space="preserve"> nº </w:t>
      </w:r>
      <w:proofErr w:type="spellStart"/>
      <w:r>
        <w:rPr>
          <w:sz w:val="22"/>
          <w:szCs w:val="22"/>
          <w:highlight w:val="green"/>
        </w:rPr>
        <w:t>xxxxxx-xxx</w:t>
      </w:r>
      <w:proofErr w:type="spellEnd"/>
      <w:r>
        <w:rPr>
          <w:sz w:val="22"/>
          <w:szCs w:val="22"/>
          <w:highlight w:val="green"/>
        </w:rPr>
        <w:t>/2020</w:t>
      </w:r>
      <w:r>
        <w:rPr>
          <w:sz w:val="22"/>
          <w:szCs w:val="22"/>
        </w:rPr>
        <w:t>, a empresa infratora qualificada violou e permanece violando determinações constantes nos artigos 4º, III, 6º, III e 31 do Código de Defesa do Con</w:t>
      </w:r>
      <w:r>
        <w:rPr>
          <w:sz w:val="22"/>
          <w:szCs w:val="22"/>
        </w:rPr>
        <w:t>sumidor (Lei Federal 8.078/1990), no artigo 13, I, do Decreto Federal 2.181/1997, bem como na Lei Federal 10.962/2004 e no Decreto Federal 5.903/2006.</w:t>
      </w:r>
    </w:p>
    <w:p w:rsidR="00DF3B60" w:rsidRDefault="00DF3B60" w14:paraId="0D0B940D" w14:textId="77777777">
      <w:pPr>
        <w:pStyle w:val="Recuodecorpodetexto31"/>
        <w:ind w:firstLine="0"/>
        <w:rPr>
          <w:sz w:val="22"/>
          <w:szCs w:val="22"/>
        </w:rPr>
      </w:pPr>
    </w:p>
    <w:p w:rsidR="00DF3B60" w:rsidRDefault="001C7E2F" w14:paraId="020B1E8D" w14:textId="77777777">
      <w:pPr>
        <w:pStyle w:val="Recuodecorpodetexto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 imediata intervenção do órgão de proteção aos direitos do consumidor faz-se mister, </w:t>
      </w:r>
      <w:r>
        <w:rPr>
          <w:sz w:val="22"/>
          <w:szCs w:val="22"/>
        </w:rPr>
        <w:t>considerando o desequilíbrio das relações consumeristas provocado pela ausência de “precificação”, sendo certo que todos os fornecedores possuem o dever de organizar seus estabelecimentos de acordo com os preceitos legais.</w:t>
      </w:r>
    </w:p>
    <w:p w:rsidR="00DF3B60" w:rsidRDefault="00DF3B60" w14:paraId="0E27B00A" w14:textId="77777777">
      <w:pPr>
        <w:pStyle w:val="Recuodecorpodetexto31"/>
        <w:ind w:firstLine="0"/>
        <w:rPr>
          <w:sz w:val="22"/>
          <w:szCs w:val="22"/>
        </w:rPr>
      </w:pPr>
    </w:p>
    <w:p w:rsidR="00DF3B60" w:rsidRDefault="001C7E2F" w14:paraId="6520BAE1" w14:textId="77777777">
      <w:pPr>
        <w:pStyle w:val="Recuodecorpodetexto31"/>
        <w:ind w:firstLine="0"/>
        <w:rPr>
          <w:sz w:val="22"/>
          <w:szCs w:val="22"/>
        </w:rPr>
      </w:pPr>
      <w:r>
        <w:rPr>
          <w:sz w:val="22"/>
          <w:szCs w:val="22"/>
        </w:rPr>
        <w:t>Cinge-se que Programa Estadual d</w:t>
      </w:r>
      <w:r>
        <w:rPr>
          <w:sz w:val="22"/>
          <w:szCs w:val="22"/>
        </w:rPr>
        <w:t xml:space="preserve">e Proteção e Defesa do Consumidor (PROCON/MPPI) </w:t>
      </w:r>
      <w:r>
        <w:rPr>
          <w:sz w:val="22"/>
          <w:szCs w:val="22"/>
          <w:highlight w:val="green"/>
        </w:rPr>
        <w:t>(Promotoria de Justiça de)</w:t>
      </w:r>
      <w:r>
        <w:rPr>
          <w:sz w:val="22"/>
          <w:szCs w:val="22"/>
        </w:rPr>
        <w:t xml:space="preserve">, tem entre suas atribuições, a de instaurar </w:t>
      </w:r>
      <w:proofErr w:type="gramStart"/>
      <w:r>
        <w:rPr>
          <w:sz w:val="22"/>
          <w:szCs w:val="22"/>
        </w:rPr>
        <w:t>procedimentos  administrativos</w:t>
      </w:r>
      <w:proofErr w:type="gramEnd"/>
      <w:r>
        <w:rPr>
          <w:sz w:val="22"/>
          <w:szCs w:val="22"/>
        </w:rPr>
        <w:t xml:space="preserve"> e aplicar as sanções administrativas cabíveis, por meio de suas autoridades administrativas, ou seja, dos </w:t>
      </w:r>
      <w:r>
        <w:rPr>
          <w:sz w:val="22"/>
          <w:szCs w:val="22"/>
        </w:rPr>
        <w:t>Promotores de Justiça de Defesa do Consumidor, nos termos do art. 19 da Lei Complementar nº 36/2004</w:t>
      </w:r>
      <w:r>
        <w:rPr>
          <w:rStyle w:val="ncoradanotaderodap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DF3B60" w:rsidRDefault="00DF3B60" w14:paraId="60061E4C" w14:textId="77777777">
      <w:pPr>
        <w:pStyle w:val="Recuodecorpodetexto31"/>
        <w:ind w:firstLine="0"/>
        <w:rPr>
          <w:sz w:val="22"/>
          <w:szCs w:val="22"/>
        </w:rPr>
      </w:pPr>
    </w:p>
    <w:p w:rsidR="00DF3B60" w:rsidRDefault="001C7E2F" w14:paraId="389389BB" w14:textId="77777777">
      <w:pPr>
        <w:pStyle w:val="Recuodecorpodetexto31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II – DOS DISPOSITIVOS LEGAIS APLICADOS:</w:t>
      </w:r>
      <w:r>
        <w:rPr>
          <w:sz w:val="22"/>
          <w:szCs w:val="22"/>
        </w:rPr>
        <w:t xml:space="preserve"> Lei Federal nº 8.078/1990, Lei Federal nº 10.962/2004, Decreto Federal nº 5.903/2006, Decreto Federal nº 2.181/1</w:t>
      </w:r>
      <w:r>
        <w:rPr>
          <w:sz w:val="22"/>
          <w:szCs w:val="22"/>
        </w:rPr>
        <w:t>997 e Resolução PGJ nº 11/2011.</w:t>
      </w:r>
    </w:p>
    <w:p w:rsidR="00DF3B60" w:rsidRDefault="00DF3B60" w14:paraId="44EAFD9C" w14:textId="77777777">
      <w:pPr>
        <w:pStyle w:val="Recuodecorpodetexto31"/>
        <w:ind w:firstLine="0"/>
        <w:rPr>
          <w:sz w:val="22"/>
          <w:szCs w:val="22"/>
        </w:rPr>
      </w:pPr>
    </w:p>
    <w:p w:rsidR="00DF3B60" w:rsidRDefault="001C7E2F" w14:paraId="3668FE20" w14:textId="77777777">
      <w:pPr>
        <w:pStyle w:val="Recuodecorpodetexto31"/>
        <w:ind w:firstLine="0"/>
        <w:rPr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 xml:space="preserve">II – DOS DISPOSITIVOS LEGAIS APLICADOS: </w:t>
      </w:r>
      <w:proofErr w:type="spellStart"/>
      <w:r>
        <w:rPr>
          <w:b/>
          <w:bCs/>
          <w:color w:val="7030A0"/>
          <w:sz w:val="22"/>
          <w:szCs w:val="22"/>
        </w:rPr>
        <w:t>Arts</w:t>
      </w:r>
      <w:proofErr w:type="spellEnd"/>
      <w:r>
        <w:rPr>
          <w:b/>
          <w:bCs/>
          <w:color w:val="7030A0"/>
          <w:sz w:val="22"/>
          <w:szCs w:val="22"/>
        </w:rPr>
        <w:t xml:space="preserve">. XXX e XXXX da Lei Federal nº 8.078/1990 </w:t>
      </w:r>
      <w:bookmarkStart w:name="__DdeLink__176_906411650" w:id="0"/>
      <w:r>
        <w:rPr>
          <w:b/>
          <w:bCs/>
          <w:color w:val="706E0C"/>
          <w:sz w:val="22"/>
          <w:szCs w:val="22"/>
        </w:rPr>
        <w:t>(De acordo)</w:t>
      </w:r>
      <w:bookmarkEnd w:id="0"/>
    </w:p>
    <w:p w:rsidR="00DF3B60" w:rsidRDefault="00DF3B60" w14:paraId="4B94D5A5" w14:textId="77777777">
      <w:pPr>
        <w:pStyle w:val="Recuodecorpodetexto31"/>
        <w:ind w:firstLine="0"/>
        <w:rPr>
          <w:b/>
          <w:bCs/>
          <w:color w:val="7030A0"/>
          <w:sz w:val="22"/>
          <w:szCs w:val="22"/>
        </w:rPr>
      </w:pPr>
    </w:p>
    <w:p w:rsidR="00DF3B60" w:rsidRDefault="001C7E2F" w14:paraId="591C7DE5" w14:textId="77777777">
      <w:pPr>
        <w:pStyle w:val="Recuodecorpodetexto31"/>
        <w:ind w:firstLine="0"/>
        <w:rPr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 xml:space="preserve">III – DAS SANÇÕ(ES) CABÍVEL(EIS): Art. 56, I do CDC. </w:t>
      </w:r>
      <w:r>
        <w:rPr>
          <w:b/>
          <w:bCs/>
          <w:color w:val="706E0C"/>
          <w:sz w:val="22"/>
          <w:szCs w:val="22"/>
        </w:rPr>
        <w:t>(De acordo)</w:t>
      </w:r>
    </w:p>
    <w:p w:rsidR="00DF3B60" w:rsidRDefault="001C7E2F" w14:paraId="21C663ED" w14:textId="77777777">
      <w:pPr>
        <w:pStyle w:val="Recuodecorpodetexto31"/>
        <w:ind w:firstLine="0"/>
        <w:rPr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>IV – DAS DILIGÊNCIAS</w:t>
      </w:r>
      <w:r>
        <w:rPr>
          <w:b/>
          <w:bCs/>
          <w:color w:val="7030A0"/>
          <w:sz w:val="22"/>
          <w:szCs w:val="22"/>
          <w:highlight w:val="yellow"/>
        </w:rPr>
        <w:t xml:space="preserve"> </w:t>
      </w:r>
      <w:r>
        <w:rPr>
          <w:b/>
          <w:bCs/>
          <w:color w:val="706E0C"/>
          <w:sz w:val="22"/>
          <w:szCs w:val="22"/>
          <w:highlight w:val="yellow"/>
        </w:rPr>
        <w:t>(De acordo)</w:t>
      </w:r>
    </w:p>
    <w:p w:rsidR="00DF3B60" w:rsidRDefault="00DF3B60" w14:paraId="3DEEC669" w14:textId="77777777">
      <w:pPr>
        <w:pStyle w:val="Recuodecorpodetexto31"/>
        <w:ind w:firstLine="0"/>
        <w:rPr>
          <w:sz w:val="22"/>
          <w:szCs w:val="22"/>
        </w:rPr>
      </w:pPr>
    </w:p>
    <w:p w:rsidR="00DF3B60" w:rsidRDefault="00DF3B60" w14:paraId="3656B9AB" w14:textId="77777777">
      <w:pPr>
        <w:pStyle w:val="Recuodecorpodetexto31"/>
        <w:ind w:firstLine="0"/>
        <w:rPr>
          <w:sz w:val="22"/>
          <w:szCs w:val="22"/>
        </w:rPr>
      </w:pPr>
    </w:p>
    <w:p w:rsidR="00DF3B60" w:rsidRDefault="001C7E2F" w14:paraId="5A3446D3" w14:textId="77777777">
      <w:pPr>
        <w:pStyle w:val="Recuodecorpodetexto31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 – DAS </w:t>
      </w:r>
      <w:r>
        <w:rPr>
          <w:b/>
          <w:bCs/>
          <w:sz w:val="22"/>
          <w:szCs w:val="22"/>
        </w:rPr>
        <w:t>DILIGÊNCIAS</w:t>
      </w:r>
    </w:p>
    <w:p w:rsidR="00DF3B60" w:rsidRDefault="00DF3B60" w14:paraId="45FB0818" w14:textId="77777777">
      <w:pPr>
        <w:pStyle w:val="Recuodecorpodetexto31"/>
        <w:ind w:firstLine="0"/>
        <w:rPr>
          <w:b/>
          <w:bCs/>
          <w:sz w:val="22"/>
          <w:szCs w:val="22"/>
        </w:rPr>
      </w:pPr>
    </w:p>
    <w:p w:rsidR="00DF3B60" w:rsidRDefault="001C7E2F" w14:paraId="064EE6E3" w14:textId="77777777">
      <w:pPr>
        <w:pStyle w:val="Recuodecorpodetexto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Pelo exposto, </w:t>
      </w:r>
      <w:r>
        <w:rPr>
          <w:b/>
          <w:bCs/>
          <w:sz w:val="22"/>
          <w:szCs w:val="22"/>
        </w:rPr>
        <w:t>DETERMINO:</w:t>
      </w:r>
    </w:p>
    <w:p w:rsidR="00DF3B60" w:rsidRDefault="00DF3B60" w14:paraId="049F31CB" w14:textId="77777777">
      <w:pPr>
        <w:pStyle w:val="Recuodecorpodetexto31"/>
        <w:ind w:firstLine="0"/>
        <w:rPr>
          <w:sz w:val="22"/>
          <w:szCs w:val="22"/>
        </w:rPr>
      </w:pPr>
    </w:p>
    <w:p w:rsidR="00DF3B60" w:rsidRDefault="001C7E2F" w14:paraId="268FA5F8" w14:textId="33F7DAF3">
      <w:pPr>
        <w:pStyle w:val="Recuodecorpodetexto31"/>
      </w:pPr>
      <w:r w:rsidRPr="5AF7121D" w:rsidR="001C7E2F">
        <w:rPr>
          <w:b w:val="1"/>
          <w:bCs w:val="1"/>
          <w:sz w:val="22"/>
          <w:szCs w:val="22"/>
        </w:rPr>
        <w:t xml:space="preserve">1. Instauração de </w:t>
      </w:r>
      <w:r w:rsidRPr="5AF7121D" w:rsidR="72BBEA21">
        <w:rPr>
          <w:b w:val="1"/>
          <w:bCs w:val="1"/>
          <w:sz w:val="22"/>
          <w:szCs w:val="22"/>
        </w:rPr>
        <w:t>investigação preliminar</w:t>
      </w:r>
      <w:r w:rsidRPr="5AF7121D" w:rsidR="001C7E2F">
        <w:rPr>
          <w:b w:val="1"/>
          <w:bCs w:val="1"/>
          <w:sz w:val="22"/>
          <w:szCs w:val="22"/>
          <w:highlight w:val="green"/>
        </w:rPr>
        <w:t xml:space="preserve">, </w:t>
      </w:r>
      <w:r w:rsidRPr="5AF7121D" w:rsidR="001C7E2F">
        <w:rPr>
          <w:b w:val="1"/>
          <w:bCs w:val="1"/>
          <w:sz w:val="22"/>
          <w:szCs w:val="22"/>
          <w:highlight w:val="green"/>
        </w:rPr>
        <w:t>nos termos do art. 7º do Ato Conjunto PGJ/Procon nº 04/2020,</w:t>
      </w:r>
      <w:r w:rsidRPr="5AF7121D" w:rsidR="001C7E2F">
        <w:rPr>
          <w:b w:val="1"/>
          <w:bCs w:val="1"/>
          <w:sz w:val="22"/>
          <w:szCs w:val="22"/>
        </w:rPr>
        <w:t xml:space="preserve"> contra o fornecedor _____________ para apuração dos fatos ocorridos em _______________________ e tomada das provi</w:t>
      </w:r>
      <w:r w:rsidRPr="5AF7121D" w:rsidR="001C7E2F">
        <w:rPr>
          <w:b w:val="1"/>
          <w:bCs w:val="1"/>
          <w:sz w:val="22"/>
          <w:szCs w:val="22"/>
        </w:rPr>
        <w:t>dências legais cabíveis, com o registro e autuação desta Portaria como peça inicial do feito, nos termos do Ato Conjunto PGJ/Procon nº 04/2020.</w:t>
      </w:r>
      <w:r w:rsidRPr="5AF7121D" w:rsidR="001C7E2F">
        <w:rPr>
          <w:sz w:val="22"/>
          <w:szCs w:val="22"/>
        </w:rPr>
        <w:t xml:space="preserve"> </w:t>
      </w:r>
    </w:p>
    <w:p w:rsidR="00DF3B60" w:rsidRDefault="001C7E2F" w14:paraId="5571F651" w14:textId="77777777">
      <w:pPr>
        <w:pStyle w:val="Recuodecorpodetexto31"/>
        <w:rPr>
          <w:sz w:val="22"/>
          <w:szCs w:val="22"/>
        </w:rPr>
      </w:pPr>
      <w:r>
        <w:rPr>
          <w:sz w:val="22"/>
          <w:szCs w:val="22"/>
        </w:rPr>
        <w:t>2. A autuação da presente;</w:t>
      </w:r>
    </w:p>
    <w:p w:rsidR="00DF3B60" w:rsidRDefault="001C7E2F" w14:paraId="0C26357B" w14:textId="77777777">
      <w:pPr>
        <w:pStyle w:val="Recuodecorpodetexto31"/>
        <w:rPr>
          <w:sz w:val="22"/>
          <w:szCs w:val="22"/>
        </w:rPr>
      </w:pPr>
      <w:r>
        <w:rPr>
          <w:sz w:val="22"/>
          <w:szCs w:val="22"/>
        </w:rPr>
        <w:t>3. A juntada de reclamação (</w:t>
      </w:r>
      <w:proofErr w:type="spellStart"/>
      <w:r>
        <w:rPr>
          <w:sz w:val="22"/>
          <w:szCs w:val="22"/>
        </w:rPr>
        <w:t>ões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> </w:t>
      </w:r>
      <w:r>
        <w:rPr>
          <w:sz w:val="22"/>
          <w:szCs w:val="22"/>
        </w:rPr>
        <w:t>chegada (s) ao conhecimento desta Promotoria de Jus</w:t>
      </w:r>
      <w:r>
        <w:rPr>
          <w:sz w:val="22"/>
          <w:szCs w:val="22"/>
        </w:rPr>
        <w:t>tiça pertinente;</w:t>
      </w:r>
    </w:p>
    <w:p w:rsidR="00DF3B60" w:rsidP="4C346387" w:rsidRDefault="4C346387" w14:paraId="748107A2" w14:textId="0C2B4C1C">
      <w:pPr>
        <w:pStyle w:val="Recuodecorpodetexto31"/>
        <w:rPr>
          <w:sz w:val="22"/>
          <w:szCs w:val="22"/>
          <w:highlight w:val="green"/>
        </w:rPr>
      </w:pPr>
      <w:r w:rsidRPr="5E23A270">
        <w:rPr>
          <w:sz w:val="22"/>
          <w:szCs w:val="22"/>
        </w:rPr>
        <w:t>4</w:t>
      </w:r>
      <w:r w:rsidRPr="5E23A270">
        <w:rPr>
          <w:sz w:val="22"/>
          <w:szCs w:val="22"/>
          <w:highlight w:val="green"/>
        </w:rPr>
        <w:t>. Fixo o prazo de 0</w:t>
      </w:r>
      <w:r w:rsidRPr="5E23A270" w:rsidR="497D5EAA">
        <w:rPr>
          <w:sz w:val="22"/>
          <w:szCs w:val="22"/>
          <w:highlight w:val="green"/>
        </w:rPr>
        <w:t>1</w:t>
      </w:r>
      <w:r w:rsidRPr="5E23A270">
        <w:rPr>
          <w:sz w:val="22"/>
          <w:szCs w:val="22"/>
          <w:highlight w:val="green"/>
        </w:rPr>
        <w:t xml:space="preserve"> (</w:t>
      </w:r>
      <w:r w:rsidRPr="5E23A270" w:rsidR="10000882">
        <w:rPr>
          <w:sz w:val="22"/>
          <w:szCs w:val="22"/>
          <w:highlight w:val="green"/>
        </w:rPr>
        <w:t>um</w:t>
      </w:r>
      <w:r w:rsidRPr="5E23A270">
        <w:rPr>
          <w:sz w:val="22"/>
          <w:szCs w:val="22"/>
          <w:highlight w:val="green"/>
        </w:rPr>
        <w:t>) ano prorrogável por igual período por uma única vez, para conclusão do presente procedimento, em conformidade com o § 1º, do art. 7º do Ato Conjunto PGJ/Procon nº 04/2020, devendo o (s) secretário (s) do feito manter controle estrito sobre o prazo de sua conclusão; (</w:t>
      </w:r>
    </w:p>
    <w:p w:rsidR="00DF3B60" w:rsidRDefault="001C7E2F" w14:paraId="37101063" w14:textId="77777777">
      <w:pPr>
        <w:pStyle w:val="Recuodecorpodetexto31"/>
        <w:rPr>
          <w:sz w:val="22"/>
          <w:szCs w:val="22"/>
        </w:rPr>
      </w:pPr>
      <w:r>
        <w:rPr>
          <w:sz w:val="22"/>
          <w:szCs w:val="22"/>
        </w:rPr>
        <w:t>5. Registre-se no SIMP/MPPI;</w:t>
      </w:r>
    </w:p>
    <w:p w:rsidR="00DF3B60" w:rsidRDefault="001C7E2F" w14:paraId="4E00B2FF" w14:textId="77777777">
      <w:pPr>
        <w:pStyle w:val="Recuodecorpodetexto3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DETERMINO ainda:</w:t>
      </w:r>
    </w:p>
    <w:p w:rsidR="00DF3B60" w:rsidRDefault="001C7E2F" w14:paraId="51D6F2DA" w14:textId="77777777">
      <w:pPr>
        <w:pStyle w:val="Recuodecorpodetexto31"/>
      </w:pPr>
      <w:r>
        <w:rPr>
          <w:sz w:val="22"/>
          <w:szCs w:val="22"/>
        </w:rPr>
        <w:t xml:space="preserve">I) a </w:t>
      </w:r>
      <w:r>
        <w:rPr>
          <w:b/>
          <w:bCs/>
          <w:sz w:val="22"/>
          <w:szCs w:val="22"/>
        </w:rPr>
        <w:t>NOTIFICAÇÃO</w:t>
      </w:r>
      <w:r>
        <w:rPr>
          <w:sz w:val="22"/>
          <w:szCs w:val="22"/>
        </w:rPr>
        <w:t xml:space="preserve"> do (s) fornecedor (es) nominado (s) </w:t>
      </w:r>
      <w:r>
        <w:rPr>
          <w:b/>
          <w:bCs/>
          <w:sz w:val="22"/>
          <w:szCs w:val="22"/>
        </w:rPr>
        <w:t>para querendo, no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prazo de 15 (quinze) dias úteis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manifestar-se </w:t>
      </w:r>
      <w:r>
        <w:rPr>
          <w:sz w:val="22"/>
          <w:szCs w:val="22"/>
        </w:rPr>
        <w:t>(em):</w:t>
      </w:r>
    </w:p>
    <w:p w:rsidR="00DF3B60" w:rsidRDefault="001C7E2F" w14:paraId="6D0953F4" w14:textId="77777777">
      <w:pPr>
        <w:pStyle w:val="Recuodecorpodetexto31"/>
      </w:pPr>
      <w:r>
        <w:rPr>
          <w:sz w:val="22"/>
          <w:szCs w:val="22"/>
        </w:rPr>
        <w:lastRenderedPageBreak/>
        <w:t>a) sobre os fatos que deram ensejo à presente instauração;</w:t>
      </w:r>
    </w:p>
    <w:p w:rsidR="00DF3B60" w:rsidRDefault="001C7E2F" w14:paraId="52663ECE" w14:textId="77777777">
      <w:pPr>
        <w:pStyle w:val="Recuodecorpodetexto31"/>
      </w:pPr>
      <w:r>
        <w:rPr>
          <w:sz w:val="22"/>
          <w:szCs w:val="22"/>
        </w:rPr>
        <w:t>b)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ocasião que em ainda poderá informar se tem interesse em firmar Termo de Ajustamento de Conduta (TAC), a fim de buscar uma solução amigável e</w:t>
      </w:r>
      <w:r>
        <w:rPr>
          <w:sz w:val="22"/>
          <w:szCs w:val="22"/>
        </w:rPr>
        <w:t xml:space="preserve"> célere do conflito ou ainda;</w:t>
      </w:r>
    </w:p>
    <w:p w:rsidR="00DF3B60" w:rsidRDefault="39D6CE4C" w14:paraId="4DD17F2D" w14:textId="77777777">
      <w:pPr>
        <w:pStyle w:val="Recuodecorpodetexto31"/>
      </w:pPr>
      <w:r w:rsidRPr="39D6CE4C">
        <w:rPr>
          <w:sz w:val="22"/>
          <w:szCs w:val="22"/>
        </w:rPr>
        <w:t xml:space="preserve">II) a expedição de Notificação Recomendatória, em razão da gravosidade do (s) fato (s) noticiado (s), para atendimento voluntário no prazo fixado, com efeito de atenuante em caso de decisão administrativa proferida a </w:t>
      </w:r>
      <w:r w:rsidRPr="39D6CE4C">
        <w:rPr>
          <w:i/>
          <w:iCs/>
          <w:sz w:val="22"/>
          <w:szCs w:val="22"/>
        </w:rPr>
        <w:t>posteriori</w:t>
      </w:r>
      <w:r w:rsidRPr="39D6CE4C">
        <w:rPr>
          <w:sz w:val="22"/>
          <w:szCs w:val="22"/>
        </w:rPr>
        <w:t>, assegurado o contraditório e ampla defesa;</w:t>
      </w:r>
    </w:p>
    <w:p w:rsidR="00DF3B60" w:rsidP="39D6CE4C" w:rsidRDefault="39FD8332" w14:paraId="5220322C" w14:textId="7D90417C">
      <w:pPr>
        <w:pStyle w:val="Recuodecorpodetexto31"/>
        <w:rPr>
          <w:sz w:val="22"/>
          <w:szCs w:val="22"/>
        </w:rPr>
      </w:pPr>
      <w:r w:rsidRPr="39D6CE4C">
        <w:rPr>
          <w:sz w:val="22"/>
          <w:szCs w:val="22"/>
        </w:rPr>
        <w:t xml:space="preserve">III) diligências </w:t>
      </w:r>
      <w:r w:rsidRPr="39D6CE4C" w:rsidR="59B815CD">
        <w:rPr>
          <w:sz w:val="22"/>
          <w:szCs w:val="22"/>
        </w:rPr>
        <w:t xml:space="preserve">pela </w:t>
      </w:r>
      <w:r w:rsidRPr="39D6CE4C">
        <w:rPr>
          <w:sz w:val="22"/>
          <w:szCs w:val="22"/>
        </w:rPr>
        <w:t>Divisão de Fiscalização do Procon/MPPI para comparecer no local indicado nos autos</w:t>
      </w:r>
      <w:r w:rsidRPr="39D6CE4C" w:rsidR="5FD0A18C">
        <w:rPr>
          <w:sz w:val="22"/>
          <w:szCs w:val="22"/>
        </w:rPr>
        <w:t xml:space="preserve">, e no prazo de </w:t>
      </w:r>
      <w:proofErr w:type="spellStart"/>
      <w:r w:rsidRPr="39D6CE4C" w:rsidR="1A2035D0">
        <w:rPr>
          <w:sz w:val="22"/>
          <w:szCs w:val="22"/>
        </w:rPr>
        <w:t>xx</w:t>
      </w:r>
      <w:proofErr w:type="spellEnd"/>
      <w:r w:rsidRPr="39D6CE4C" w:rsidR="5FD0A18C">
        <w:rPr>
          <w:sz w:val="22"/>
          <w:szCs w:val="22"/>
        </w:rPr>
        <w:t xml:space="preserve"> dias corridos</w:t>
      </w:r>
      <w:r w:rsidRPr="39D6CE4C" w:rsidR="12049DB5">
        <w:rPr>
          <w:sz w:val="22"/>
          <w:szCs w:val="22"/>
        </w:rPr>
        <w:t xml:space="preserve"> junta</w:t>
      </w:r>
      <w:r w:rsidRPr="39D6CE4C" w:rsidR="0DDDD5E0">
        <w:rPr>
          <w:sz w:val="22"/>
          <w:szCs w:val="22"/>
        </w:rPr>
        <w:t xml:space="preserve">r </w:t>
      </w:r>
      <w:r w:rsidRPr="39D6CE4C" w:rsidR="59421CC5">
        <w:rPr>
          <w:sz w:val="22"/>
          <w:szCs w:val="22"/>
        </w:rPr>
        <w:t>R</w:t>
      </w:r>
      <w:r w:rsidRPr="39D6CE4C" w:rsidR="5FD0A18C">
        <w:rPr>
          <w:sz w:val="22"/>
          <w:szCs w:val="22"/>
        </w:rPr>
        <w:t xml:space="preserve">elatório </w:t>
      </w:r>
      <w:r w:rsidRPr="39D6CE4C" w:rsidR="5FA8B329">
        <w:rPr>
          <w:sz w:val="22"/>
          <w:szCs w:val="22"/>
        </w:rPr>
        <w:t xml:space="preserve">de </w:t>
      </w:r>
      <w:r w:rsidRPr="39D6CE4C" w:rsidR="211FDF16">
        <w:rPr>
          <w:sz w:val="22"/>
          <w:szCs w:val="22"/>
        </w:rPr>
        <w:t>V</w:t>
      </w:r>
      <w:r w:rsidRPr="39D6CE4C" w:rsidR="5FA8B329">
        <w:rPr>
          <w:sz w:val="22"/>
          <w:szCs w:val="22"/>
        </w:rPr>
        <w:t xml:space="preserve">isita com </w:t>
      </w:r>
      <w:r w:rsidRPr="39D6CE4C" w:rsidR="5FD0A18C">
        <w:rPr>
          <w:sz w:val="22"/>
          <w:szCs w:val="22"/>
        </w:rPr>
        <w:t>image</w:t>
      </w:r>
      <w:r w:rsidRPr="39D6CE4C" w:rsidR="4A0220C6">
        <w:rPr>
          <w:sz w:val="22"/>
          <w:szCs w:val="22"/>
        </w:rPr>
        <w:t>ns</w:t>
      </w:r>
      <w:r w:rsidRPr="39D6CE4C" w:rsidR="5FD0A18C">
        <w:rPr>
          <w:sz w:val="22"/>
          <w:szCs w:val="22"/>
        </w:rPr>
        <w:t xml:space="preserve"> fotográficos </w:t>
      </w:r>
      <w:r w:rsidRPr="39D6CE4C" w:rsidR="1CD66B6D">
        <w:rPr>
          <w:sz w:val="22"/>
          <w:szCs w:val="22"/>
        </w:rPr>
        <w:t>d</w:t>
      </w:r>
      <w:r w:rsidRPr="39D6CE4C" w:rsidR="03D25202">
        <w:rPr>
          <w:sz w:val="22"/>
          <w:szCs w:val="22"/>
        </w:rPr>
        <w:t>a f</w:t>
      </w:r>
      <w:r w:rsidRPr="39D6CE4C" w:rsidR="4C1BBC12">
        <w:rPr>
          <w:sz w:val="22"/>
          <w:szCs w:val="22"/>
        </w:rPr>
        <w:t>iscalização</w:t>
      </w:r>
      <w:r w:rsidRPr="39D6CE4C" w:rsidR="70717F64">
        <w:rPr>
          <w:sz w:val="22"/>
          <w:szCs w:val="22"/>
        </w:rPr>
        <w:t xml:space="preserve"> realizada</w:t>
      </w:r>
      <w:r w:rsidRPr="39D6CE4C" w:rsidR="5FD0A18C">
        <w:rPr>
          <w:sz w:val="22"/>
          <w:szCs w:val="22"/>
        </w:rPr>
        <w:t>.</w:t>
      </w:r>
      <w:r w:rsidRPr="39D6CE4C" w:rsidR="4D4F5F80">
        <w:rPr>
          <w:sz w:val="22"/>
          <w:szCs w:val="22"/>
        </w:rPr>
        <w:t xml:space="preserve"> </w:t>
      </w:r>
      <w:r w:rsidRPr="39D6CE4C" w:rsidR="77AF6D97">
        <w:rPr>
          <w:sz w:val="22"/>
          <w:szCs w:val="22"/>
        </w:rPr>
        <w:t xml:space="preserve"> </w:t>
      </w:r>
    </w:p>
    <w:p w:rsidR="00DF3B60" w:rsidP="39D6CE4C" w:rsidRDefault="39D6CE4C" w14:paraId="7F0DE3F1" w14:textId="7088B65D">
      <w:pPr>
        <w:pStyle w:val="Recuodecorpodetexto31"/>
        <w:rPr>
          <w:sz w:val="22"/>
          <w:szCs w:val="22"/>
        </w:rPr>
      </w:pPr>
      <w:r w:rsidRPr="39D6CE4C">
        <w:rPr>
          <w:sz w:val="22"/>
          <w:szCs w:val="22"/>
        </w:rPr>
        <w:t>7. Após o decorrido o prazo, com ou sem resposta do notificado, venham os autos conclusos para providências.</w:t>
      </w:r>
    </w:p>
    <w:p w:rsidR="00DF3B60" w:rsidRDefault="00DF3B60" w14:paraId="53128261" w14:textId="77777777">
      <w:pPr>
        <w:pStyle w:val="Recuodecorpodetexto31"/>
      </w:pPr>
    </w:p>
    <w:p w:rsidR="00DF3B60" w:rsidRDefault="001C7E2F" w14:paraId="771D87E9" w14:textId="77777777">
      <w:pPr>
        <w:pStyle w:val="Recuodecorpodetexto31"/>
        <w:rPr>
          <w:sz w:val="22"/>
          <w:szCs w:val="22"/>
        </w:rPr>
      </w:pPr>
      <w:r>
        <w:rPr>
          <w:sz w:val="22"/>
          <w:szCs w:val="22"/>
        </w:rPr>
        <w:t xml:space="preserve">À Secretaria Unificada </w:t>
      </w:r>
      <w:r>
        <w:rPr>
          <w:sz w:val="22"/>
          <w:szCs w:val="22"/>
          <w:highlight w:val="green"/>
        </w:rPr>
        <w:t>nome da unidade</w:t>
      </w:r>
      <w:r>
        <w:rPr>
          <w:sz w:val="22"/>
          <w:szCs w:val="22"/>
        </w:rPr>
        <w:t xml:space="preserve"> para providências.</w:t>
      </w:r>
    </w:p>
    <w:p w:rsidR="00DF3B60" w:rsidRDefault="00DF3B60" w14:paraId="62486C05" w14:textId="77777777">
      <w:pPr>
        <w:pStyle w:val="Recuodecorpodetexto31"/>
        <w:rPr>
          <w:sz w:val="22"/>
          <w:szCs w:val="22"/>
        </w:rPr>
      </w:pPr>
    </w:p>
    <w:p w:rsidR="00DF3B60" w:rsidRDefault="001C7E2F" w14:paraId="4C0660F9" w14:textId="77777777">
      <w:pPr>
        <w:pStyle w:val="Recuodecorpodetexto31"/>
        <w:rPr>
          <w:sz w:val="22"/>
          <w:szCs w:val="22"/>
        </w:rPr>
      </w:pPr>
      <w:r>
        <w:rPr>
          <w:sz w:val="22"/>
          <w:szCs w:val="22"/>
        </w:rPr>
        <w:t xml:space="preserve">Publique-se </w:t>
      </w:r>
      <w:r>
        <w:rPr>
          <w:sz w:val="22"/>
          <w:szCs w:val="22"/>
        </w:rPr>
        <w:t>no diário oficial eletrônico do MPPI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cumpra-se</w:t>
      </w:r>
    </w:p>
    <w:p w:rsidR="00DF3B60" w:rsidRDefault="00DF3B60" w14:paraId="4101652C" w14:textId="77777777">
      <w:pPr>
        <w:pStyle w:val="Recuodecorpodetexto31"/>
        <w:rPr>
          <w:sz w:val="22"/>
          <w:szCs w:val="22"/>
        </w:rPr>
      </w:pPr>
    </w:p>
    <w:p w:rsidR="00DF3B60" w:rsidRDefault="001C7E2F" w14:paraId="4A0D57BB" w14:textId="77777777">
      <w:pPr>
        <w:pStyle w:val="Recuodecorpodetexto31"/>
        <w:rPr>
          <w:sz w:val="22"/>
          <w:szCs w:val="22"/>
        </w:rPr>
      </w:pPr>
      <w:r>
        <w:rPr>
          <w:sz w:val="22"/>
          <w:szCs w:val="22"/>
          <w:highlight w:val="green"/>
        </w:rPr>
        <w:t>Local, data.</w:t>
      </w:r>
    </w:p>
    <w:p w:rsidR="00DF3B60" w:rsidRDefault="001C7E2F" w14:paraId="70D3CCD3" w14:textId="77777777">
      <w:pPr>
        <w:pStyle w:val="Recuodecorpodetexto3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DF3B60" w:rsidRDefault="001C7E2F" w14:paraId="530832B8" w14:textId="77777777">
      <w:pPr>
        <w:pStyle w:val="Recuodecorpodetexto31"/>
        <w:jc w:val="center"/>
      </w:pPr>
      <w:r>
        <w:rPr>
          <w:sz w:val="22"/>
          <w:szCs w:val="22"/>
        </w:rPr>
        <w:t>Promotor (a) de Justiça</w:t>
      </w:r>
    </w:p>
    <w:sectPr w:rsidR="00DF3B60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E2F" w:rsidRDefault="001C7E2F" w14:paraId="1C45800A" w14:textId="77777777">
      <w:r>
        <w:separator/>
      </w:r>
    </w:p>
  </w:endnote>
  <w:endnote w:type="continuationSeparator" w:id="0">
    <w:p w:rsidR="001C7E2F" w:rsidRDefault="001C7E2F" w14:paraId="0CF6E9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F3B60" w:rsidRDefault="001C7E2F" w14:paraId="1231F191" w14:textId="77777777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346DDC07" wp14:editId="07777777">
              <wp:simplePos x="0" y="0"/>
              <wp:positionH relativeFrom="page">
                <wp:posOffset>6692265</wp:posOffset>
              </wp:positionH>
              <wp:positionV relativeFrom="paragraph">
                <wp:posOffset>635</wp:posOffset>
              </wp:positionV>
              <wp:extent cx="76835" cy="175260"/>
              <wp:effectExtent l="5715" t="635" r="4445" b="635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3B60" w:rsidRDefault="001C7E2F" w14:paraId="43DD4C48" w14:textId="7777777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style="position:absolute;margin-left:526.95pt;margin-top:.05pt;width:6.05pt;height:13.8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w14:anchorId="346DD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">
              <v:textbox inset=".02mm,.02mm,.02mm,.02mm">
                <w:txbxContent>
                  <w:p w:rsidR="00DF3B60" w:rsidRDefault="001C7E2F" w14:paraId="43DD4C48" w14:textId="77777777">
                    <w:pPr>
                      <w:pStyle w:val="Rodap"/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E2F" w:rsidRDefault="001C7E2F" w14:paraId="2F3CC857" w14:textId="77777777">
      <w:r>
        <w:separator/>
      </w:r>
    </w:p>
  </w:footnote>
  <w:footnote w:type="continuationSeparator" w:id="0">
    <w:p w:rsidR="001C7E2F" w:rsidRDefault="001C7E2F" w14:paraId="79536930" w14:textId="77777777">
      <w:r>
        <w:continuationSeparator/>
      </w:r>
    </w:p>
  </w:footnote>
  <w:footnote w:id="1">
    <w:p w:rsidRPr="00C42BE1" w:rsidR="00DF3B60" w:rsidRDefault="001C7E2F" w14:paraId="0F34F858" w14:textId="63786847">
      <w:pPr>
        <w:pStyle w:val="Textodenotaderodap"/>
        <w:jc w:val="both"/>
        <w:rPr>
          <w:sz w:val="16"/>
          <w:szCs w:val="16"/>
        </w:rPr>
      </w:pPr>
      <w:r w:rsidRPr="00C42BE1">
        <w:rPr>
          <w:rStyle w:val="Caracteresdenotaderodap"/>
          <w:sz w:val="16"/>
          <w:szCs w:val="16"/>
        </w:rPr>
        <w:footnoteRef/>
      </w:r>
      <w:r w:rsidRPr="00C42BE1">
        <w:rPr>
          <w:sz w:val="16"/>
          <w:szCs w:val="16"/>
        </w:rPr>
        <w:t xml:space="preserve"> </w:t>
      </w:r>
      <w:r w:rsidRPr="00C42BE1">
        <w:rPr>
          <w:sz w:val="16"/>
          <w:szCs w:val="16"/>
        </w:rPr>
        <w:t>Se já tiverem sido instaurados outros processos administrativos em razão da mesma conduta de não “</w:t>
      </w:r>
      <w:r w:rsidRPr="00C42BE1" w:rsidR="00C42BE1">
        <w:rPr>
          <w:sz w:val="16"/>
          <w:szCs w:val="16"/>
        </w:rPr>
        <w:t>precificação” /</w:t>
      </w:r>
      <w:r w:rsidRPr="00C42BE1">
        <w:rPr>
          <w:sz w:val="16"/>
          <w:szCs w:val="16"/>
        </w:rPr>
        <w:t xml:space="preserve"> “precificação” ilegal, é importante que tal fato seja aqui citado, para demonstrar a reiteração das condutas e, </w:t>
      </w:r>
      <w:r w:rsidRPr="00C42BE1" w:rsidR="00C42BE1">
        <w:rPr>
          <w:sz w:val="16"/>
          <w:szCs w:val="16"/>
        </w:rPr>
        <w:t>consequentemente</w:t>
      </w:r>
      <w:r w:rsidRPr="00C42BE1">
        <w:rPr>
          <w:sz w:val="16"/>
          <w:szCs w:val="16"/>
        </w:rPr>
        <w:t>, justificar se</w:t>
      </w:r>
      <w:r w:rsidRPr="00C42BE1">
        <w:rPr>
          <w:sz w:val="16"/>
          <w:szCs w:val="16"/>
        </w:rPr>
        <w:t xml:space="preserve">ja proferida a decisão administrativa. A reiteração da constatação de práticas </w:t>
      </w:r>
      <w:proofErr w:type="spellStart"/>
      <w:r w:rsidRPr="00C42BE1">
        <w:rPr>
          <w:sz w:val="16"/>
          <w:szCs w:val="16"/>
        </w:rPr>
        <w:t>infrativas</w:t>
      </w:r>
      <w:proofErr w:type="spellEnd"/>
      <w:r w:rsidRPr="00C42BE1">
        <w:rPr>
          <w:sz w:val="16"/>
          <w:szCs w:val="16"/>
        </w:rPr>
        <w:t xml:space="preserve"> denota uma postura de deliberadamente descumprir os preceitos legais. </w:t>
      </w:r>
    </w:p>
  </w:footnote>
  <w:footnote w:id="2">
    <w:p w:rsidRPr="00C42BE1" w:rsidR="00DF3B60" w:rsidRDefault="001C7E2F" w14:paraId="4F764680" w14:textId="77777777">
      <w:pPr>
        <w:pStyle w:val="Textodenotaderodap"/>
        <w:jc w:val="both"/>
        <w:rPr>
          <w:sz w:val="16"/>
          <w:szCs w:val="16"/>
        </w:rPr>
      </w:pPr>
      <w:r w:rsidRPr="00C42BE1">
        <w:rPr>
          <w:rStyle w:val="Caracteresdenotaderodap"/>
          <w:sz w:val="16"/>
          <w:szCs w:val="16"/>
        </w:rPr>
        <w:footnoteRef/>
      </w:r>
      <w:r w:rsidRPr="00C42BE1">
        <w:rPr>
          <w:sz w:val="16"/>
          <w:szCs w:val="16"/>
        </w:rPr>
        <w:t xml:space="preserve"> </w:t>
      </w:r>
      <w:r w:rsidRPr="00C42BE1">
        <w:rPr>
          <w:sz w:val="16"/>
          <w:szCs w:val="16"/>
        </w:rPr>
        <w:t>Ato Conjunto PGJ/Procon nº 04/2020, cria a Rede de Promotorias de Justiça de Defesa do Consum</w:t>
      </w:r>
      <w:r w:rsidRPr="00C42BE1">
        <w:rPr>
          <w:sz w:val="16"/>
          <w:szCs w:val="16"/>
        </w:rPr>
        <w:t>idor, estabelece as normas gerais do exercício do poder de polícia e de aplicação das sanções administrativas pelo Programa Estadual de Proteção e Defesa do Consumidor do Ministério Público do Estado do Piauí (PROCON/MPPI) e dá outras providências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3B60" w:rsidP="00C42BE1" w:rsidRDefault="00C42BE1" w14:paraId="3461D779" w14:textId="488CDF9A">
    <w:pPr>
      <w:pStyle w:val="Cabealho"/>
      <w:jc w:val="center"/>
      <w:rPr>
        <w:sz w:val="25"/>
        <w:szCs w:val="25"/>
      </w:rPr>
    </w:pPr>
    <w:r>
      <w:rPr>
        <w:rStyle w:val="WW8Num1z1"/>
        <w:noProof/>
        <w:color w:val="000000"/>
        <w:sz w:val="22"/>
        <w:szCs w:val="22"/>
      </w:rPr>
      <w:drawing>
        <wp:inline distT="0" distB="0" distL="0" distR="0" wp14:anchorId="5F6AE89E" wp14:editId="236ACECA">
          <wp:extent cx="4381500" cy="1168400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D25202"/>
    <w:rsid w:val="001C7E2F"/>
    <w:rsid w:val="00C42BE1"/>
    <w:rsid w:val="00DF3B60"/>
    <w:rsid w:val="03D25202"/>
    <w:rsid w:val="081B083B"/>
    <w:rsid w:val="099DB03F"/>
    <w:rsid w:val="0CEE795E"/>
    <w:rsid w:val="0DDDD5E0"/>
    <w:rsid w:val="10000882"/>
    <w:rsid w:val="11577B13"/>
    <w:rsid w:val="12049DB5"/>
    <w:rsid w:val="1A2035D0"/>
    <w:rsid w:val="1B5791F0"/>
    <w:rsid w:val="1CD66B6D"/>
    <w:rsid w:val="211FDF16"/>
    <w:rsid w:val="25FCD39E"/>
    <w:rsid w:val="284EEAFD"/>
    <w:rsid w:val="2B84004D"/>
    <w:rsid w:val="35EF3296"/>
    <w:rsid w:val="39D6CE4C"/>
    <w:rsid w:val="39FD8332"/>
    <w:rsid w:val="3F711ECA"/>
    <w:rsid w:val="40460FD0"/>
    <w:rsid w:val="497D5EAA"/>
    <w:rsid w:val="4A0220C6"/>
    <w:rsid w:val="4C1BBC12"/>
    <w:rsid w:val="4C346387"/>
    <w:rsid w:val="4D4F5F80"/>
    <w:rsid w:val="4E543044"/>
    <w:rsid w:val="519466BB"/>
    <w:rsid w:val="55167C60"/>
    <w:rsid w:val="56F614C0"/>
    <w:rsid w:val="59421CC5"/>
    <w:rsid w:val="59B815CD"/>
    <w:rsid w:val="5AF7121D"/>
    <w:rsid w:val="5C0AEDD9"/>
    <w:rsid w:val="5D655644"/>
    <w:rsid w:val="5E23A270"/>
    <w:rsid w:val="5F83A42D"/>
    <w:rsid w:val="5FA8B329"/>
    <w:rsid w:val="5FD0A18C"/>
    <w:rsid w:val="6C6DCB54"/>
    <w:rsid w:val="6E5614A4"/>
    <w:rsid w:val="6F1DDC74"/>
    <w:rsid w:val="70717F64"/>
    <w:rsid w:val="718DB566"/>
    <w:rsid w:val="72BBEA21"/>
    <w:rsid w:val="73D980BB"/>
    <w:rsid w:val="77A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C801"/>
  <w15:docId w15:val="{4B7F00E4-9670-4D30-8128-F4B4949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Fontepargpadro1" w:customStyle="1">
    <w:name w:val="Fonte parág. padrão1"/>
    <w:qFormat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Nmerodepgina">
    <w:name w:val="page number"/>
    <w:basedOn w:val="Fontepargpadro1"/>
    <w:qFormat/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-Caracteresdenotadefim" w:customStyle="1">
    <w:name w:val="WW-Caracteres de nota de fim"/>
    <w:qFormat/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10" w:customStyle="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Recuodecorpodetexto">
    <w:name w:val="Body Text Indent"/>
    <w:basedOn w:val="Normal"/>
    <w:pPr>
      <w:ind w:left="1080"/>
      <w:jc w:val="both"/>
    </w:pPr>
  </w:style>
  <w:style w:type="paragraph" w:styleId="Recuodecorpodetexto21" w:customStyle="1">
    <w:name w:val="Recuo de corpo de texto 21"/>
    <w:basedOn w:val="Normal"/>
    <w:qFormat/>
    <w:pPr>
      <w:ind w:left="1080"/>
      <w:jc w:val="both"/>
    </w:pPr>
    <w:rPr>
      <w:sz w:val="22"/>
    </w:rPr>
  </w:style>
  <w:style w:type="paragraph" w:styleId="Recuodecorpodetexto31" w:customStyle="1">
    <w:name w:val="Recuo de corpo de texto 31"/>
    <w:basedOn w:val="Normal"/>
    <w:qFormat/>
    <w:pPr>
      <w:ind w:firstLine="1080"/>
      <w:jc w:val="both"/>
    </w:pPr>
  </w:style>
  <w:style w:type="paragraph" w:styleId="CabealhoeRodap" w:customStyle="1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ntedodoquadro" w:customStyle="1">
    <w:name w:val="Conteúdo do quadro"/>
    <w:basedOn w:val="Normal"/>
    <w:qFormat/>
  </w:style>
  <w:style w:type="paragraph" w:styleId="western" w:customStyle="1">
    <w:name w:val="western"/>
    <w:basedOn w:val="Normal"/>
    <w:qFormat/>
    <w:pPr>
      <w:spacing w:before="100" w:after="119"/>
    </w:pPr>
  </w:style>
  <w:style w:type="paragraph" w:styleId="paragraph" w:customStyle="1">
    <w:name w:val="paragraph"/>
    <w:basedOn w:val="Normal"/>
    <w:rsid w:val="00C42BE1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 xmlns="e8b43b67-cc43-42df-a04f-3356f259a961" xsi:nil="true"/>
    <Situa_x00e7__x00e3_o xmlns="e8b43b67-cc43-42df-a04f-3356f259a961" xsi:nil="true"/>
    <JUNTADONOSIMP xmlns="e8b43b67-cc43-42df-a04f-3356f259a961">false</JUNTADONOSIMP>
    <STATUS xmlns="e8b43b67-cc43-42df-a04f-3356f259a9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0" ma:contentTypeDescription="Crie um novo documento." ma:contentTypeScope="" ma:versionID="2ce43b698a297870fb6c6eea1f358ba3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82ab207ede09f47e54c2d215db30a497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F85C8-0FC1-4F45-9485-FFE6FAB2F02F}">
  <ds:schemaRefs>
    <ds:schemaRef ds:uri="http://schemas.microsoft.com/office/2006/metadata/properties"/>
    <ds:schemaRef ds:uri="http://schemas.microsoft.com/office/infopath/2007/PartnerControls"/>
    <ds:schemaRef ds:uri="e8b43b67-cc43-42df-a04f-3356f259a961"/>
  </ds:schemaRefs>
</ds:datastoreItem>
</file>

<file path=customXml/itemProps2.xml><?xml version="1.0" encoding="utf-8"?>
<ds:datastoreItem xmlns:ds="http://schemas.openxmlformats.org/officeDocument/2006/customXml" ds:itemID="{5E1E273F-219E-434F-9992-7F6A7D20D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B89E2-4A81-4F6D-8B2D-A6DF001238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Administrativo nº: _________________________</dc:title>
  <dc:subject/>
  <dc:creator>Procuradoria Geral de Justiça de MG</dc:creator>
  <dc:description/>
  <cp:lastModifiedBy>EDIVAR CRUZ CARVALHO</cp:lastModifiedBy>
  <cp:revision>15</cp:revision>
  <cp:lastPrinted>1995-11-22T01:41:00Z</cp:lastPrinted>
  <dcterms:created xsi:type="dcterms:W3CDTF">2020-11-11T20:02:00Z</dcterms:created>
  <dcterms:modified xsi:type="dcterms:W3CDTF">2021-12-21T19:16:37Z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0x01010014AB3F3A556C4F49800754C74BAE2CCB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