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1ECC" w14:textId="77777777" w:rsidR="009D440F" w:rsidRDefault="009D440F" w:rsidP="00BC7CBD">
      <w:pPr>
        <w:pStyle w:val="Cabealho"/>
        <w:autoSpaceDE/>
        <w:jc w:val="both"/>
        <w:rPr>
          <w:rFonts w:ascii="Arial" w:hAnsi="Arial" w:cs="Arial"/>
          <w:b/>
          <w:sz w:val="24"/>
          <w:szCs w:val="24"/>
        </w:rPr>
      </w:pPr>
    </w:p>
    <w:p w14:paraId="25AD4DC1" w14:textId="77777777" w:rsidR="00BC7CBD" w:rsidRPr="006E7ADC" w:rsidRDefault="00BC7CBD" w:rsidP="00BC7CBD">
      <w:pPr>
        <w:pStyle w:val="Cabealho"/>
        <w:autoSpaceDE/>
        <w:jc w:val="both"/>
        <w:rPr>
          <w:rFonts w:ascii="Arial" w:hAnsi="Arial" w:cs="Arial"/>
          <w:b/>
          <w:sz w:val="24"/>
          <w:szCs w:val="24"/>
        </w:rPr>
      </w:pPr>
      <w:r w:rsidRPr="006E7ADC">
        <w:rPr>
          <w:rFonts w:ascii="Arial" w:hAnsi="Arial" w:cs="Arial"/>
          <w:b/>
          <w:sz w:val="24"/>
          <w:szCs w:val="24"/>
        </w:rPr>
        <w:t>EXCELENTÍSSIMO SE</w:t>
      </w:r>
      <w:r>
        <w:rPr>
          <w:rFonts w:ascii="Arial" w:hAnsi="Arial" w:cs="Arial"/>
          <w:b/>
          <w:sz w:val="24"/>
          <w:szCs w:val="24"/>
        </w:rPr>
        <w:t xml:space="preserve">NHOR DOUTOR JUIZ DE DIREITO DA </w:t>
      </w:r>
      <w:r w:rsidR="009D440F">
        <w:rPr>
          <w:rFonts w:ascii="Arial" w:hAnsi="Arial" w:cs="Arial"/>
          <w:b/>
          <w:sz w:val="24"/>
          <w:szCs w:val="24"/>
        </w:rPr>
        <w:t>VARA</w:t>
      </w:r>
      <w:r w:rsidRPr="006E7ADC">
        <w:rPr>
          <w:rFonts w:ascii="Arial" w:hAnsi="Arial" w:cs="Arial"/>
          <w:b/>
          <w:sz w:val="24"/>
          <w:szCs w:val="24"/>
        </w:rPr>
        <w:t xml:space="preserve"> </w:t>
      </w:r>
      <w:r w:rsidR="009D440F">
        <w:rPr>
          <w:rFonts w:ascii="Arial" w:hAnsi="Arial" w:cs="Arial"/>
          <w:b/>
          <w:sz w:val="24"/>
          <w:szCs w:val="24"/>
        </w:rPr>
        <w:t>ÚNICA DA</w:t>
      </w:r>
      <w:r>
        <w:rPr>
          <w:rFonts w:ascii="Arial" w:hAnsi="Arial" w:cs="Arial"/>
          <w:b/>
          <w:sz w:val="24"/>
          <w:szCs w:val="24"/>
        </w:rPr>
        <w:t xml:space="preserve"> COMARCA DE CORRENTE/PIAUÍ</w:t>
      </w:r>
    </w:p>
    <w:p w14:paraId="048CB032" w14:textId="77777777" w:rsidR="00BC7CBD" w:rsidRPr="006E7ADC" w:rsidRDefault="00BC7CBD" w:rsidP="00BC7CBD">
      <w:pPr>
        <w:pStyle w:val="Cabealho"/>
        <w:autoSpaceDE/>
        <w:ind w:right="45"/>
        <w:jc w:val="both"/>
        <w:rPr>
          <w:rFonts w:ascii="Arial" w:hAnsi="Arial" w:cs="Arial"/>
          <w:b/>
          <w:sz w:val="24"/>
          <w:szCs w:val="24"/>
        </w:rPr>
      </w:pPr>
    </w:p>
    <w:p w14:paraId="245021CB" w14:textId="77777777" w:rsidR="00BC7CBD" w:rsidRPr="006E7ADC" w:rsidRDefault="00BC7CBD" w:rsidP="00BC7CBD">
      <w:pPr>
        <w:spacing w:line="360" w:lineRule="auto"/>
        <w:ind w:right="323" w:firstLine="2835"/>
        <w:jc w:val="both"/>
        <w:rPr>
          <w:rFonts w:ascii="Arial" w:hAnsi="Arial" w:cs="Arial"/>
          <w:b/>
          <w:sz w:val="24"/>
          <w:szCs w:val="24"/>
        </w:rPr>
      </w:pPr>
    </w:p>
    <w:p w14:paraId="312D21FE" w14:textId="77777777" w:rsidR="00BC7CBD" w:rsidRPr="006E7ADC" w:rsidRDefault="00BC7CBD" w:rsidP="00BC7CBD">
      <w:pPr>
        <w:spacing w:line="360" w:lineRule="auto"/>
        <w:ind w:right="323" w:firstLine="2835"/>
        <w:jc w:val="both"/>
        <w:rPr>
          <w:rFonts w:ascii="Arial" w:hAnsi="Arial" w:cs="Arial"/>
          <w:b/>
          <w:sz w:val="24"/>
          <w:szCs w:val="24"/>
        </w:rPr>
      </w:pPr>
    </w:p>
    <w:p w14:paraId="2B7DDE6C" w14:textId="77777777" w:rsidR="00BC7CBD" w:rsidRPr="006E7ADC" w:rsidRDefault="00BC7CBD" w:rsidP="00BC7CBD">
      <w:pPr>
        <w:spacing w:line="360" w:lineRule="auto"/>
        <w:ind w:right="323" w:firstLine="2835"/>
        <w:jc w:val="both"/>
        <w:rPr>
          <w:rFonts w:ascii="Arial" w:hAnsi="Arial" w:cs="Arial"/>
          <w:b/>
          <w:sz w:val="24"/>
          <w:szCs w:val="24"/>
        </w:rPr>
      </w:pPr>
    </w:p>
    <w:p w14:paraId="16CAA436" w14:textId="77777777" w:rsidR="00BC7CBD" w:rsidRPr="006E7ADC" w:rsidRDefault="00BC7CBD" w:rsidP="00BC7CBD">
      <w:pPr>
        <w:spacing w:line="360" w:lineRule="auto"/>
        <w:ind w:right="323" w:firstLine="2835"/>
        <w:jc w:val="both"/>
        <w:rPr>
          <w:rFonts w:ascii="Arial" w:hAnsi="Arial" w:cs="Arial"/>
          <w:b/>
          <w:sz w:val="24"/>
          <w:szCs w:val="24"/>
        </w:rPr>
      </w:pPr>
    </w:p>
    <w:p w14:paraId="770A7053" w14:textId="77777777" w:rsidR="00BC7CBD" w:rsidRPr="006E7ADC" w:rsidRDefault="00BC7CBD" w:rsidP="00BC7CBD">
      <w:pPr>
        <w:spacing w:line="360" w:lineRule="auto"/>
        <w:ind w:right="323"/>
        <w:jc w:val="both"/>
        <w:rPr>
          <w:rFonts w:ascii="Arial" w:hAnsi="Arial" w:cs="Arial"/>
          <w:b/>
          <w:sz w:val="24"/>
          <w:szCs w:val="24"/>
        </w:rPr>
      </w:pPr>
    </w:p>
    <w:p w14:paraId="66840FA5" w14:textId="77777777" w:rsidR="00BC7CBD" w:rsidRPr="006E7ADC" w:rsidRDefault="00BC7CBD" w:rsidP="00BC7CBD">
      <w:pPr>
        <w:tabs>
          <w:tab w:val="left" w:pos="3736"/>
        </w:tabs>
        <w:spacing w:line="360" w:lineRule="auto"/>
        <w:ind w:right="323" w:firstLine="2835"/>
        <w:jc w:val="both"/>
        <w:rPr>
          <w:rFonts w:ascii="Arial" w:hAnsi="Arial" w:cs="Arial"/>
          <w:b/>
          <w:sz w:val="24"/>
          <w:szCs w:val="24"/>
        </w:rPr>
      </w:pPr>
    </w:p>
    <w:p w14:paraId="73591191" w14:textId="77777777" w:rsidR="00BC7CBD" w:rsidRPr="006E7ADC" w:rsidRDefault="00BC7CBD" w:rsidP="00BC7CBD">
      <w:pPr>
        <w:spacing w:line="360" w:lineRule="auto"/>
        <w:ind w:right="323" w:firstLine="2835"/>
        <w:jc w:val="both"/>
        <w:rPr>
          <w:rFonts w:ascii="Arial" w:hAnsi="Arial" w:cs="Arial"/>
          <w:b/>
          <w:sz w:val="24"/>
          <w:szCs w:val="24"/>
        </w:rPr>
      </w:pPr>
    </w:p>
    <w:p w14:paraId="3B03E5B5" w14:textId="77777777" w:rsidR="00BC7CBD" w:rsidRPr="006E7ADC" w:rsidRDefault="00BC7CBD" w:rsidP="00BC7CBD">
      <w:pPr>
        <w:spacing w:line="360" w:lineRule="auto"/>
        <w:ind w:right="323" w:firstLine="2835"/>
        <w:jc w:val="both"/>
        <w:rPr>
          <w:rFonts w:ascii="Arial" w:hAnsi="Arial" w:cs="Arial"/>
          <w:b/>
          <w:sz w:val="24"/>
          <w:szCs w:val="24"/>
        </w:rPr>
      </w:pPr>
    </w:p>
    <w:p w14:paraId="1F901850" w14:textId="77777777" w:rsidR="00BC7CBD" w:rsidRPr="006E7ADC" w:rsidRDefault="00BC7CBD" w:rsidP="00BC7CBD">
      <w:pPr>
        <w:keepNext/>
        <w:spacing w:line="360" w:lineRule="auto"/>
        <w:ind w:right="15" w:firstLine="2835"/>
        <w:jc w:val="both"/>
        <w:rPr>
          <w:rFonts w:ascii="Arial" w:hAnsi="Arial" w:cs="Arial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t>O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b/>
          <w:sz w:val="24"/>
          <w:szCs w:val="24"/>
        </w:rPr>
        <w:t>MINISTÉRIO</w:t>
      </w:r>
      <w:r w:rsidRPr="006E7ADC">
        <w:rPr>
          <w:rFonts w:ascii="Arial" w:eastAsia="Courier New" w:hAnsi="Arial" w:cs="Arial"/>
          <w:b/>
          <w:sz w:val="24"/>
          <w:szCs w:val="24"/>
        </w:rPr>
        <w:t xml:space="preserve"> </w:t>
      </w:r>
      <w:r w:rsidRPr="006E7ADC">
        <w:rPr>
          <w:rFonts w:ascii="Arial" w:hAnsi="Arial" w:cs="Arial"/>
          <w:b/>
          <w:sz w:val="24"/>
          <w:szCs w:val="24"/>
        </w:rPr>
        <w:t>PÚBLICO</w:t>
      </w:r>
      <w:r w:rsidRPr="006E7ADC">
        <w:rPr>
          <w:rFonts w:ascii="Arial" w:hAnsi="Arial" w:cs="Arial"/>
          <w:sz w:val="24"/>
          <w:szCs w:val="24"/>
        </w:rPr>
        <w:t>,</w:t>
      </w:r>
      <w:r w:rsidRPr="006E7ADC">
        <w:rPr>
          <w:rFonts w:ascii="Arial" w:eastAsia="Courier New" w:hAnsi="Arial" w:cs="Arial"/>
          <w:sz w:val="24"/>
          <w:szCs w:val="24"/>
        </w:rPr>
        <w:t xml:space="preserve"> por seu Promotor de Justiça infra-assinado, no uso das atribuições que lhe são conferidas pelo art. 129, I, C</w:t>
      </w:r>
      <w:r>
        <w:rPr>
          <w:rFonts w:ascii="Arial" w:eastAsia="Courier New" w:hAnsi="Arial" w:cs="Arial"/>
          <w:sz w:val="24"/>
          <w:szCs w:val="24"/>
        </w:rPr>
        <w:t xml:space="preserve">onstituição </w:t>
      </w:r>
      <w:r w:rsidRPr="006E7ADC">
        <w:rPr>
          <w:rFonts w:ascii="Arial" w:eastAsia="Courier New" w:hAnsi="Arial" w:cs="Arial"/>
          <w:sz w:val="24"/>
          <w:szCs w:val="24"/>
        </w:rPr>
        <w:t>F</w:t>
      </w:r>
      <w:r>
        <w:rPr>
          <w:rFonts w:ascii="Arial" w:eastAsia="Courier New" w:hAnsi="Arial" w:cs="Arial"/>
          <w:sz w:val="24"/>
          <w:szCs w:val="24"/>
        </w:rPr>
        <w:t>ederal</w:t>
      </w:r>
      <w:r w:rsidRPr="006E7ADC">
        <w:rPr>
          <w:rFonts w:ascii="Arial" w:eastAsia="Courier New" w:hAnsi="Arial" w:cs="Arial"/>
          <w:sz w:val="24"/>
          <w:szCs w:val="24"/>
        </w:rPr>
        <w:t xml:space="preserve">; art. 25, III, da Lei 8.625/93; </w:t>
      </w:r>
      <w:r w:rsidRPr="006E7ADC">
        <w:rPr>
          <w:rFonts w:ascii="Arial" w:hAnsi="Arial" w:cs="Arial"/>
          <w:sz w:val="24"/>
          <w:szCs w:val="24"/>
        </w:rPr>
        <w:t>vem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à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presença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de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V.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Exa.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propor</w:t>
      </w:r>
    </w:p>
    <w:p w14:paraId="76017A71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hAnsi="Arial" w:cs="Arial"/>
          <w:sz w:val="24"/>
          <w:szCs w:val="24"/>
        </w:rPr>
      </w:pPr>
    </w:p>
    <w:p w14:paraId="31C348E6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6E7ADC">
        <w:rPr>
          <w:rFonts w:ascii="Arial" w:hAnsi="Arial" w:cs="Arial"/>
          <w:b/>
          <w:sz w:val="24"/>
          <w:szCs w:val="24"/>
        </w:rPr>
        <w:t>AÇÃO</w:t>
      </w:r>
      <w:r w:rsidRPr="006E7ADC">
        <w:rPr>
          <w:rFonts w:ascii="Arial" w:eastAsia="Courier New" w:hAnsi="Arial" w:cs="Arial"/>
          <w:b/>
          <w:sz w:val="24"/>
          <w:szCs w:val="24"/>
        </w:rPr>
        <w:t xml:space="preserve"> CAUTELAR DE PRODUÇÃO ANTECIPADA DE PROVA</w:t>
      </w:r>
      <w:r w:rsidRPr="006E7ADC">
        <w:rPr>
          <w:rFonts w:ascii="Arial" w:hAnsi="Arial" w:cs="Arial"/>
          <w:sz w:val="24"/>
          <w:szCs w:val="24"/>
        </w:rPr>
        <w:t>,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com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fundamento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no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art.</w:t>
      </w:r>
      <w:r w:rsidRPr="006E7ADC">
        <w:rPr>
          <w:rFonts w:ascii="Arial" w:eastAsia="Courier New" w:hAnsi="Arial" w:cs="Arial"/>
          <w:sz w:val="24"/>
          <w:szCs w:val="24"/>
        </w:rPr>
        <w:t xml:space="preserve"> 227, </w:t>
      </w:r>
      <w:r w:rsidRPr="006E7ADC">
        <w:rPr>
          <w:rFonts w:ascii="Arial" w:eastAsia="Courier New" w:hAnsi="Arial" w:cs="Arial"/>
          <w:i/>
          <w:iCs/>
          <w:sz w:val="24"/>
          <w:szCs w:val="24"/>
        </w:rPr>
        <w:t>caput</w:t>
      </w:r>
      <w:r w:rsidRPr="006E7ADC">
        <w:rPr>
          <w:rFonts w:ascii="Arial" w:eastAsia="Courier New" w:hAnsi="Arial" w:cs="Arial"/>
          <w:sz w:val="24"/>
          <w:szCs w:val="24"/>
        </w:rPr>
        <w:t>, da C</w:t>
      </w:r>
      <w:r>
        <w:rPr>
          <w:rFonts w:ascii="Arial" w:eastAsia="Courier New" w:hAnsi="Arial" w:cs="Arial"/>
          <w:sz w:val="24"/>
          <w:szCs w:val="24"/>
        </w:rPr>
        <w:t>onstituição Federal</w:t>
      </w:r>
      <w:r w:rsidRPr="006E7ADC">
        <w:rPr>
          <w:rFonts w:ascii="Arial" w:eastAsia="Courier New" w:hAnsi="Arial" w:cs="Arial"/>
          <w:sz w:val="24"/>
          <w:szCs w:val="24"/>
        </w:rPr>
        <w:t>; art. 12, da Convenção da ONU sobre Direito da Criança (Decreto nº 99.710/1990); Resolução nº 33/2010 do C</w:t>
      </w:r>
      <w:r>
        <w:rPr>
          <w:rFonts w:ascii="Arial" w:eastAsia="Courier New" w:hAnsi="Arial" w:cs="Arial"/>
          <w:sz w:val="24"/>
          <w:szCs w:val="24"/>
        </w:rPr>
        <w:t xml:space="preserve">onselho </w:t>
      </w:r>
      <w:r w:rsidRPr="006E7ADC">
        <w:rPr>
          <w:rFonts w:ascii="Arial" w:eastAsia="Courier New" w:hAnsi="Arial" w:cs="Arial"/>
          <w:sz w:val="24"/>
          <w:szCs w:val="24"/>
        </w:rPr>
        <w:t>N</w:t>
      </w:r>
      <w:r>
        <w:rPr>
          <w:rFonts w:ascii="Arial" w:eastAsia="Courier New" w:hAnsi="Arial" w:cs="Arial"/>
          <w:sz w:val="24"/>
          <w:szCs w:val="24"/>
        </w:rPr>
        <w:t xml:space="preserve">acional de </w:t>
      </w:r>
      <w:r w:rsidRPr="006E7ADC">
        <w:rPr>
          <w:rFonts w:ascii="Arial" w:eastAsia="Courier New" w:hAnsi="Arial" w:cs="Arial"/>
          <w:sz w:val="24"/>
          <w:szCs w:val="24"/>
        </w:rPr>
        <w:t>J</w:t>
      </w:r>
      <w:r>
        <w:rPr>
          <w:rFonts w:ascii="Arial" w:eastAsia="Courier New" w:hAnsi="Arial" w:cs="Arial"/>
          <w:sz w:val="24"/>
          <w:szCs w:val="24"/>
        </w:rPr>
        <w:t>ustiça</w:t>
      </w:r>
      <w:r w:rsidRPr="006E7ADC">
        <w:rPr>
          <w:rFonts w:ascii="Arial" w:eastAsia="Courier New" w:hAnsi="Arial" w:cs="Arial"/>
          <w:sz w:val="24"/>
          <w:szCs w:val="24"/>
        </w:rPr>
        <w:t>; art. 156, I, do C</w:t>
      </w:r>
      <w:r>
        <w:rPr>
          <w:rFonts w:ascii="Arial" w:eastAsia="Courier New" w:hAnsi="Arial" w:cs="Arial"/>
          <w:sz w:val="24"/>
          <w:szCs w:val="24"/>
        </w:rPr>
        <w:t xml:space="preserve">ódigo de </w:t>
      </w:r>
      <w:r w:rsidRPr="006E7ADC">
        <w:rPr>
          <w:rFonts w:ascii="Arial" w:eastAsia="Courier New" w:hAnsi="Arial" w:cs="Arial"/>
          <w:sz w:val="24"/>
          <w:szCs w:val="24"/>
        </w:rPr>
        <w:t>P</w:t>
      </w:r>
      <w:r>
        <w:rPr>
          <w:rFonts w:ascii="Arial" w:eastAsia="Courier New" w:hAnsi="Arial" w:cs="Arial"/>
          <w:sz w:val="24"/>
          <w:szCs w:val="24"/>
        </w:rPr>
        <w:t xml:space="preserve">rocesso </w:t>
      </w:r>
      <w:r w:rsidRPr="006E7ADC">
        <w:rPr>
          <w:rFonts w:ascii="Arial" w:eastAsia="Courier New" w:hAnsi="Arial" w:cs="Arial"/>
          <w:sz w:val="24"/>
          <w:szCs w:val="24"/>
        </w:rPr>
        <w:t>P</w:t>
      </w:r>
      <w:r>
        <w:rPr>
          <w:rFonts w:ascii="Arial" w:eastAsia="Courier New" w:hAnsi="Arial" w:cs="Arial"/>
          <w:sz w:val="24"/>
          <w:szCs w:val="24"/>
        </w:rPr>
        <w:t>enal</w:t>
      </w:r>
      <w:r w:rsidRPr="006E7ADC">
        <w:rPr>
          <w:rFonts w:ascii="Arial" w:eastAsia="Courier New" w:hAnsi="Arial" w:cs="Arial"/>
          <w:sz w:val="24"/>
          <w:szCs w:val="24"/>
        </w:rPr>
        <w:t>; e, art. 11 da Lei nº 13.431/2017</w:t>
      </w:r>
      <w:r w:rsidRPr="006E7ADC">
        <w:rPr>
          <w:rFonts w:ascii="Arial" w:hAnsi="Arial" w:cs="Arial"/>
          <w:sz w:val="24"/>
          <w:szCs w:val="24"/>
        </w:rPr>
        <w:t xml:space="preserve">, em face de </w:t>
      </w:r>
    </w:p>
    <w:p w14:paraId="2BD05F2C" w14:textId="77777777" w:rsidR="00BC7CBD" w:rsidRPr="006E7ADC" w:rsidRDefault="00BC7CBD" w:rsidP="00BC7CBD">
      <w:pPr>
        <w:pStyle w:val="WW-Padro"/>
        <w:spacing w:line="360" w:lineRule="auto"/>
        <w:ind w:firstLine="2268"/>
        <w:jc w:val="both"/>
        <w:rPr>
          <w:rFonts w:ascii="Arial" w:eastAsia="Courier New" w:hAnsi="Arial" w:cs="Arial"/>
          <w:sz w:val="24"/>
        </w:rPr>
      </w:pPr>
      <w:r w:rsidRPr="006E7ADC">
        <w:rPr>
          <w:rFonts w:ascii="Arial" w:hAnsi="Arial" w:cs="Arial"/>
          <w:b/>
          <w:bCs/>
          <w:caps/>
          <w:sz w:val="24"/>
        </w:rPr>
        <w:t xml:space="preserve">_________ </w:t>
      </w:r>
      <w:r w:rsidRPr="006E7ADC">
        <w:rPr>
          <w:rFonts w:ascii="Arial" w:hAnsi="Arial" w:cs="Arial"/>
          <w:bCs/>
          <w:sz w:val="24"/>
        </w:rPr>
        <w:t xml:space="preserve">(fls. ____), brasileiro, solteiro, </w:t>
      </w:r>
      <w:proofErr w:type="gramStart"/>
      <w:r w:rsidRPr="006E7ADC">
        <w:rPr>
          <w:rFonts w:ascii="Arial" w:hAnsi="Arial" w:cs="Arial"/>
          <w:bCs/>
          <w:sz w:val="24"/>
        </w:rPr>
        <w:t>aposentado,  portador</w:t>
      </w:r>
      <w:proofErr w:type="gramEnd"/>
      <w:r w:rsidRPr="006E7ADC">
        <w:rPr>
          <w:rFonts w:ascii="Arial" w:hAnsi="Arial" w:cs="Arial"/>
          <w:bCs/>
          <w:sz w:val="24"/>
        </w:rPr>
        <w:t xml:space="preserve"> do RG nº _______, nascido</w:t>
      </w:r>
      <w:r>
        <w:rPr>
          <w:rFonts w:ascii="Arial" w:hAnsi="Arial" w:cs="Arial"/>
          <w:bCs/>
          <w:sz w:val="24"/>
        </w:rPr>
        <w:t xml:space="preserve"> em _____, natural de _______/PI</w:t>
      </w:r>
      <w:r w:rsidRPr="006E7ADC">
        <w:rPr>
          <w:rFonts w:ascii="Arial" w:hAnsi="Arial" w:cs="Arial"/>
          <w:bCs/>
          <w:sz w:val="24"/>
        </w:rPr>
        <w:t xml:space="preserve">, filho de ____ e ____, residente na ______, neste </w:t>
      </w:r>
      <w:r>
        <w:rPr>
          <w:rFonts w:ascii="Arial" w:hAnsi="Arial" w:cs="Arial"/>
          <w:bCs/>
          <w:sz w:val="24"/>
        </w:rPr>
        <w:t>Município e Comarca de ______/PI</w:t>
      </w:r>
      <w:r w:rsidRPr="006E7ADC">
        <w:rPr>
          <w:rFonts w:ascii="Arial" w:hAnsi="Arial" w:cs="Arial"/>
          <w:bCs/>
          <w:sz w:val="24"/>
        </w:rPr>
        <w:t xml:space="preserve">, </w:t>
      </w:r>
      <w:r w:rsidRPr="006E7ADC">
        <w:rPr>
          <w:rFonts w:ascii="Arial" w:hAnsi="Arial" w:cs="Arial"/>
          <w:sz w:val="24"/>
        </w:rPr>
        <w:t>pelos</w:t>
      </w:r>
      <w:r w:rsidRPr="006E7ADC">
        <w:rPr>
          <w:rFonts w:ascii="Arial" w:eastAsia="Courier New" w:hAnsi="Arial" w:cs="Arial"/>
          <w:sz w:val="24"/>
        </w:rPr>
        <w:t xml:space="preserve"> </w:t>
      </w:r>
      <w:r w:rsidRPr="006E7ADC">
        <w:rPr>
          <w:rFonts w:ascii="Arial" w:hAnsi="Arial" w:cs="Arial"/>
          <w:sz w:val="24"/>
        </w:rPr>
        <w:t>seguintes</w:t>
      </w:r>
      <w:r w:rsidRPr="006E7ADC">
        <w:rPr>
          <w:rFonts w:ascii="Arial" w:eastAsia="Courier New" w:hAnsi="Arial" w:cs="Arial"/>
          <w:sz w:val="24"/>
        </w:rPr>
        <w:t xml:space="preserve"> </w:t>
      </w:r>
      <w:r w:rsidRPr="006E7ADC">
        <w:rPr>
          <w:rFonts w:ascii="Arial" w:hAnsi="Arial" w:cs="Arial"/>
          <w:sz w:val="24"/>
        </w:rPr>
        <w:t>motivos:</w:t>
      </w:r>
      <w:r w:rsidRPr="006E7ADC">
        <w:rPr>
          <w:rFonts w:ascii="Arial" w:eastAsia="Courier New" w:hAnsi="Arial" w:cs="Arial"/>
          <w:sz w:val="24"/>
        </w:rPr>
        <w:t xml:space="preserve"> </w:t>
      </w:r>
    </w:p>
    <w:p w14:paraId="73DFD6A0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eastAsia="Courier New" w:hAnsi="Arial" w:cs="Arial"/>
          <w:sz w:val="24"/>
          <w:szCs w:val="24"/>
        </w:rPr>
      </w:pPr>
    </w:p>
    <w:p w14:paraId="6D39A871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hAnsi="Arial" w:cs="Arial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t>1-</w:t>
      </w:r>
      <w:r w:rsidRPr="006E7ADC">
        <w:rPr>
          <w:rFonts w:ascii="Arial" w:eastAsia="Courier New" w:hAnsi="Arial" w:cs="Arial"/>
          <w:sz w:val="24"/>
          <w:szCs w:val="24"/>
        </w:rPr>
        <w:t xml:space="preserve"> Segundo consta </w:t>
      </w:r>
      <w:r>
        <w:rPr>
          <w:rFonts w:ascii="Arial" w:eastAsia="Courier New" w:hAnsi="Arial" w:cs="Arial"/>
          <w:sz w:val="24"/>
          <w:szCs w:val="24"/>
        </w:rPr>
        <w:t xml:space="preserve">em </w:t>
      </w:r>
      <w:proofErr w:type="spellStart"/>
      <w:r w:rsidRPr="00BC7CBD">
        <w:rPr>
          <w:rFonts w:ascii="Arial" w:eastAsia="Courier New" w:hAnsi="Arial" w:cs="Arial"/>
          <w:i/>
          <w:sz w:val="24"/>
          <w:szCs w:val="24"/>
        </w:rPr>
        <w:t>notitia</w:t>
      </w:r>
      <w:proofErr w:type="spellEnd"/>
      <w:r w:rsidRPr="00BC7CBD">
        <w:rPr>
          <w:rFonts w:ascii="Arial" w:eastAsia="Courier New" w:hAnsi="Arial" w:cs="Arial"/>
          <w:i/>
          <w:sz w:val="24"/>
          <w:szCs w:val="24"/>
        </w:rPr>
        <w:t xml:space="preserve"> criminis</w:t>
      </w:r>
      <w:r>
        <w:rPr>
          <w:rFonts w:ascii="Arial" w:eastAsia="Courier New" w:hAnsi="Arial" w:cs="Arial"/>
          <w:sz w:val="24"/>
          <w:szCs w:val="24"/>
        </w:rPr>
        <w:t>, a adolescente</w:t>
      </w:r>
      <w:r w:rsidRPr="006E7ADC">
        <w:rPr>
          <w:rFonts w:ascii="Arial" w:eastAsia="Courier New" w:hAnsi="Arial" w:cs="Arial"/>
          <w:sz w:val="24"/>
          <w:szCs w:val="24"/>
        </w:rPr>
        <w:t xml:space="preserve"> _______, nascida em _______, supostamente, foi vítima de estupro de vulnerável, por várias vezes, </w:t>
      </w:r>
      <w:r>
        <w:rPr>
          <w:rFonts w:ascii="Arial" w:eastAsia="Courier New" w:hAnsi="Arial" w:cs="Arial"/>
          <w:sz w:val="24"/>
          <w:szCs w:val="24"/>
        </w:rPr>
        <w:t>__</w:t>
      </w:r>
      <w:r w:rsidRPr="006E7ADC">
        <w:rPr>
          <w:rFonts w:ascii="Arial" w:eastAsia="Courier New" w:hAnsi="Arial" w:cs="Arial"/>
          <w:sz w:val="24"/>
          <w:szCs w:val="24"/>
        </w:rPr>
        <w:t xml:space="preserve"> ______, sendo o possível autor o requerido.</w:t>
      </w:r>
    </w:p>
    <w:p w14:paraId="57FFDBAE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hAnsi="Arial" w:cs="Arial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t>Inicialmente, cumpre destacar que o depoimento especial colhido por profissional qualificado, é uma conquista para salvaguardar os direitos da infância e da juventude.</w:t>
      </w:r>
    </w:p>
    <w:p w14:paraId="0D9B79F5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hAnsi="Arial" w:cs="Arial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lastRenderedPageBreak/>
        <w:t xml:space="preserve">A recente aprovação da Lei nº </w:t>
      </w:r>
      <w:r w:rsidRPr="006E7ADC">
        <w:rPr>
          <w:rFonts w:ascii="Arial" w:eastAsia="Courier New" w:hAnsi="Arial" w:cs="Arial"/>
          <w:sz w:val="24"/>
          <w:szCs w:val="24"/>
        </w:rPr>
        <w:t>13.431/2017, cujo resultado representa esforço da frente parlamentar apoiada pela</w:t>
      </w:r>
      <w:r w:rsidRPr="006E7A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ADC">
        <w:rPr>
          <w:rFonts w:ascii="Arial" w:hAnsi="Arial" w:cs="Arial"/>
          <w:i/>
          <w:iCs/>
          <w:sz w:val="24"/>
          <w:szCs w:val="24"/>
        </w:rPr>
        <w:t>Childhood</w:t>
      </w:r>
      <w:proofErr w:type="spellEnd"/>
      <w:r w:rsidRPr="006E7ADC">
        <w:rPr>
          <w:rFonts w:ascii="Arial" w:hAnsi="Arial" w:cs="Arial"/>
          <w:i/>
          <w:iCs/>
          <w:sz w:val="24"/>
          <w:szCs w:val="24"/>
        </w:rPr>
        <w:t xml:space="preserve"> Brasi</w:t>
      </w:r>
      <w:r w:rsidRPr="006E7ADC">
        <w:rPr>
          <w:rFonts w:ascii="Arial" w:hAnsi="Arial" w:cs="Arial"/>
          <w:sz w:val="24"/>
          <w:szCs w:val="24"/>
        </w:rPr>
        <w:t>l</w:t>
      </w:r>
      <w:r w:rsidRPr="006E7ADC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6E7ADC">
        <w:rPr>
          <w:rFonts w:ascii="Arial" w:hAnsi="Arial" w:cs="Arial"/>
          <w:sz w:val="24"/>
          <w:szCs w:val="24"/>
        </w:rPr>
        <w:t xml:space="preserve"> e por diversos profissionais especializados na matéria, alinha o Brasil às normas internacionais sobre proteção das crianças e adolescentes vítimas de abuso sexual.</w:t>
      </w:r>
    </w:p>
    <w:p w14:paraId="117F0A2E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hAnsi="Arial" w:cs="Arial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t xml:space="preserve">A Lei supracitada visa concretizar experiência como a que ocorre em âmbito internacional, na </w:t>
      </w:r>
      <w:proofErr w:type="spellStart"/>
      <w:r w:rsidRPr="006E7ADC">
        <w:rPr>
          <w:rFonts w:ascii="Arial" w:hAnsi="Arial" w:cs="Arial"/>
          <w:i/>
          <w:iCs/>
          <w:sz w:val="24"/>
          <w:szCs w:val="24"/>
        </w:rPr>
        <w:t>Children’s</w:t>
      </w:r>
      <w:proofErr w:type="spellEnd"/>
      <w:r w:rsidRPr="006E7AD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E7ADC">
        <w:rPr>
          <w:rFonts w:ascii="Arial" w:hAnsi="Arial" w:cs="Arial"/>
          <w:i/>
          <w:iCs/>
          <w:sz w:val="24"/>
          <w:szCs w:val="24"/>
        </w:rPr>
        <w:t>Advocacy</w:t>
      </w:r>
      <w:proofErr w:type="spellEnd"/>
      <w:r w:rsidRPr="006E7ADC">
        <w:rPr>
          <w:rFonts w:ascii="Arial" w:hAnsi="Arial" w:cs="Arial"/>
          <w:i/>
          <w:iCs/>
          <w:sz w:val="24"/>
          <w:szCs w:val="24"/>
        </w:rPr>
        <w:t xml:space="preserve"> Centers </w:t>
      </w:r>
      <w:r w:rsidRPr="006E7ADC">
        <w:rPr>
          <w:rFonts w:ascii="Arial" w:hAnsi="Arial" w:cs="Arial"/>
          <w:sz w:val="24"/>
          <w:szCs w:val="24"/>
        </w:rPr>
        <w:t>(</w:t>
      </w:r>
      <w:proofErr w:type="spellStart"/>
      <w:r w:rsidRPr="006E7ADC">
        <w:rPr>
          <w:rFonts w:ascii="Arial" w:hAnsi="Arial" w:cs="Arial"/>
          <w:sz w:val="24"/>
          <w:szCs w:val="24"/>
        </w:rPr>
        <w:t>CACs</w:t>
      </w:r>
      <w:proofErr w:type="spellEnd"/>
      <w:proofErr w:type="gramStart"/>
      <w:r w:rsidRPr="006E7ADC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estado </w:t>
      </w:r>
      <w:r w:rsidRPr="006E7ADC">
        <w:rPr>
          <w:rFonts w:ascii="Arial" w:hAnsi="Arial" w:cs="Arial"/>
          <w:sz w:val="24"/>
          <w:szCs w:val="24"/>
        </w:rPr>
        <w:t xml:space="preserve"> do Alabama, Estados Unidos, a qual serviu de fonte de inspiração para o legislador brasileiro.</w:t>
      </w:r>
    </w:p>
    <w:p w14:paraId="51B641FA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hAnsi="Arial" w:cs="Arial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t>A técnica do depoimento esp</w:t>
      </w:r>
      <w:r>
        <w:rPr>
          <w:rFonts w:ascii="Arial" w:hAnsi="Arial" w:cs="Arial"/>
          <w:sz w:val="24"/>
          <w:szCs w:val="24"/>
        </w:rPr>
        <w:t xml:space="preserve">ecial objetiva evitar a </w:t>
      </w:r>
      <w:proofErr w:type="spellStart"/>
      <w:r>
        <w:rPr>
          <w:rFonts w:ascii="Arial" w:hAnsi="Arial" w:cs="Arial"/>
          <w:sz w:val="24"/>
          <w:szCs w:val="24"/>
        </w:rPr>
        <w:t>revitimi</w:t>
      </w:r>
      <w:r w:rsidRPr="006E7ADC">
        <w:rPr>
          <w:rFonts w:ascii="Arial" w:hAnsi="Arial" w:cs="Arial"/>
          <w:sz w:val="24"/>
          <w:szCs w:val="24"/>
        </w:rPr>
        <w:t>zação</w:t>
      </w:r>
      <w:proofErr w:type="spellEnd"/>
      <w:r w:rsidRPr="006E7ADC">
        <w:rPr>
          <w:rFonts w:ascii="Arial" w:hAnsi="Arial" w:cs="Arial"/>
          <w:sz w:val="24"/>
          <w:szCs w:val="24"/>
        </w:rPr>
        <w:t>, mormente a institucional, na qual não raras vezes, segundo pesquisas, a vítima é penosamente ouvida cerca de 08 a 10 vezes sobre os fatos, em razão dos processos judiciais que são consequências do abuso sexual sofrido, tendo que repetir e reviver a triste cena do ilícito.</w:t>
      </w:r>
    </w:p>
    <w:p w14:paraId="580E07A9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hAnsi="Arial" w:cs="Arial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t>Portanto, o que se busca com o depoimento especial, é que não seja tomado novo depoimento da vítima, seja pelo Juízo Criminal ou pelo Juízo da Infância.</w:t>
      </w:r>
    </w:p>
    <w:p w14:paraId="2D48B131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hAnsi="Arial" w:cs="Arial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t xml:space="preserve">Por isso, o depoimento deverá servir de prova emprestada aos diferentes Juízos. Assim, é imprescindível o respeito ao princípio do contraditório e da ampla defesa do investigado. </w:t>
      </w:r>
    </w:p>
    <w:p w14:paraId="58C273A0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hAnsi="Arial" w:cs="Arial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t>Antes mesmo da aprovação desse importante diploma normativo (</w:t>
      </w:r>
      <w:r w:rsidRPr="006E7ADC">
        <w:rPr>
          <w:rFonts w:ascii="Arial" w:eastAsia="Courier New" w:hAnsi="Arial" w:cs="Arial"/>
          <w:sz w:val="24"/>
          <w:szCs w:val="24"/>
        </w:rPr>
        <w:t>Lei nº 13.431/2017)</w:t>
      </w:r>
      <w:r w:rsidRPr="006E7ADC">
        <w:rPr>
          <w:rFonts w:ascii="Arial" w:hAnsi="Arial" w:cs="Arial"/>
          <w:sz w:val="24"/>
          <w:szCs w:val="24"/>
        </w:rPr>
        <w:t xml:space="preserve">, a jurisprudência já aceitava o depoimento especial, à época chamado de </w:t>
      </w:r>
      <w:r>
        <w:rPr>
          <w:rFonts w:ascii="Arial" w:hAnsi="Arial" w:cs="Arial"/>
          <w:sz w:val="24"/>
          <w:szCs w:val="24"/>
        </w:rPr>
        <w:t>“</w:t>
      </w:r>
      <w:r w:rsidRPr="006E7ADC">
        <w:rPr>
          <w:rFonts w:ascii="Arial" w:hAnsi="Arial" w:cs="Arial"/>
          <w:sz w:val="24"/>
          <w:szCs w:val="24"/>
        </w:rPr>
        <w:t xml:space="preserve">depoimento sem </w:t>
      </w:r>
      <w:proofErr w:type="spellStart"/>
      <w:r w:rsidRPr="006E7ADC">
        <w:rPr>
          <w:rFonts w:ascii="Arial" w:hAnsi="Arial" w:cs="Arial"/>
          <w:sz w:val="24"/>
          <w:szCs w:val="24"/>
        </w:rPr>
        <w:t>dano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6E7ADC">
        <w:rPr>
          <w:rFonts w:ascii="Arial" w:hAnsi="Arial" w:cs="Arial"/>
          <w:sz w:val="24"/>
          <w:szCs w:val="24"/>
        </w:rPr>
        <w:t xml:space="preserve">. </w:t>
      </w:r>
    </w:p>
    <w:p w14:paraId="36DA9E43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eastAsia="Courier New" w:hAnsi="Arial" w:cs="Arial"/>
          <w:i/>
          <w:iCs/>
          <w:color w:val="333333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t>Neste sentido, colaciono os julgados abaixo:</w:t>
      </w:r>
    </w:p>
    <w:p w14:paraId="7BF641B5" w14:textId="77777777" w:rsidR="00BC7CBD" w:rsidRPr="006E7ADC" w:rsidRDefault="00BC7CBD" w:rsidP="00BC7CBD">
      <w:pPr>
        <w:spacing w:line="360" w:lineRule="auto"/>
        <w:ind w:left="1134" w:firstLine="1134"/>
        <w:jc w:val="both"/>
        <w:rPr>
          <w:rFonts w:ascii="Arial" w:hAnsi="Arial" w:cs="Arial"/>
          <w:i/>
          <w:iCs/>
          <w:sz w:val="24"/>
          <w:szCs w:val="24"/>
        </w:rPr>
      </w:pPr>
      <w:r w:rsidRPr="006E7ADC">
        <w:rPr>
          <w:rFonts w:ascii="Arial" w:eastAsia="Courier New" w:hAnsi="Arial" w:cs="Arial"/>
          <w:i/>
          <w:iCs/>
          <w:color w:val="333333"/>
          <w:sz w:val="24"/>
          <w:szCs w:val="24"/>
        </w:rPr>
        <w:t>“</w:t>
      </w:r>
      <w:r w:rsidRPr="006E7ADC">
        <w:rPr>
          <w:rFonts w:ascii="Arial" w:hAnsi="Arial" w:cs="Arial"/>
          <w:i/>
          <w:iCs/>
          <w:color w:val="333333"/>
          <w:sz w:val="24"/>
          <w:szCs w:val="24"/>
        </w:rPr>
        <w:t xml:space="preserve">APELAÇÃO CRIME. ESTUPRO DE VULNERÁVEL (ART. 217-A DO CÓDIGO PENAL). IMPRESCINDIBILIDADE DA DECLARAÇÃO DA VÍTIMA E DO DEPOIMENTO DE SEU IRMÃO, O QUAL FOI APONTADO </w:t>
      </w:r>
      <w:r w:rsidRPr="006E7ADC">
        <w:rPr>
          <w:rFonts w:ascii="Arial" w:hAnsi="Arial" w:cs="Arial"/>
          <w:i/>
          <w:iCs/>
          <w:color w:val="333333"/>
          <w:sz w:val="24"/>
          <w:szCs w:val="24"/>
        </w:rPr>
        <w:lastRenderedPageBreak/>
        <w:t xml:space="preserve">COMO TESTEMUNHA OCULAR DOS FATOS NARRADOS NA DENÚNCIA. COLHEITA POR MEIO DO SISTEMA DECLARAÇÃO SEM DANO (DSD). OBSERVÂNCIA À RECOMENDAÇÃO Nº 33/2010 DO CNJ E AOS PRINCÍPIOS DA PROTEÇÃO INTEGRAL E DA CONDIÇÃO PECULIAR DA CRIANÇA E DO ADOLESCENTE COMO PESSOAS EM DESENVOLVIMENTO. BUSCA DA VERDADE REAL.  EXPEDIENTE AMPARADO NOS ARTS. 616 E 156, AMBOS DO CÓDIGO DE PROCESSO PENAL. SOBRESTAMENTO DO APELO ATÉ ULTIMADA A DILIGÊNCIA. I- Em se tratando de crime perpetrado contra a dignidade sexual de uma criança, cuja declaração não foi colhida na fase inquisitiva e sequer na fase judicial, possível a Câmara converter o julgamento em diligência, com base no art. 616 do Código de Processo Penal, porque imperiosa a sua inquirição nos moldes do método depoimento sem </w:t>
      </w:r>
      <w:proofErr w:type="spellStart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>dano</w:t>
      </w:r>
      <w:proofErr w:type="spellEnd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 xml:space="preserve"> (DSD), considerando que sua palavra ostenta grande relevância em ações desta natureza e a consecução da verdade real constitui o propósito do processo penal. II– Revelando-se essencial a audição da testemunha referida que, no caso, presenciou, em tese, as investidas de cunho sexual imputadas ao réu, deve ela ser ouvida pelo método depoimento sem </w:t>
      </w:r>
      <w:proofErr w:type="spellStart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>dano</w:t>
      </w:r>
      <w:proofErr w:type="spellEnd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 xml:space="preserve"> (DSD), porque se trata de uma criança, com base nos </w:t>
      </w:r>
      <w:proofErr w:type="spellStart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>arts</w:t>
      </w:r>
      <w:proofErr w:type="spellEnd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 xml:space="preserve">. 209, § 1º, 156 e 616, todos da Lei Adjetiva Penal. APELO CUJO JULGAMENTO RESTA SOBRESTADO ATÉ SER ULTIMADA AS DILIGÊNCIAS DETERMINADAS” (TJPR - 3ª </w:t>
      </w:r>
      <w:proofErr w:type="spellStart"/>
      <w:proofErr w:type="gramStart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>C.Criminal</w:t>
      </w:r>
      <w:proofErr w:type="spellEnd"/>
      <w:proofErr w:type="gramEnd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 xml:space="preserve"> - AC - 1421453-0 - Pontal do Paraná -  Rel.: </w:t>
      </w:r>
      <w:proofErr w:type="spellStart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>Gamaliel</w:t>
      </w:r>
      <w:proofErr w:type="spellEnd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>Seme</w:t>
      </w:r>
      <w:proofErr w:type="spellEnd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>Scaff</w:t>
      </w:r>
      <w:proofErr w:type="spellEnd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 xml:space="preserve"> - Unânime -  J. 02.06.2016).</w:t>
      </w:r>
    </w:p>
    <w:p w14:paraId="3143C6FF" w14:textId="77777777" w:rsidR="00BC7CBD" w:rsidRPr="006E7ADC" w:rsidRDefault="00BC7CBD" w:rsidP="00BC7CBD">
      <w:pPr>
        <w:spacing w:line="360" w:lineRule="auto"/>
        <w:ind w:left="1134" w:firstLine="1134"/>
        <w:jc w:val="both"/>
        <w:rPr>
          <w:rFonts w:ascii="Arial" w:hAnsi="Arial" w:cs="Arial"/>
          <w:i/>
          <w:iCs/>
          <w:sz w:val="24"/>
          <w:szCs w:val="24"/>
        </w:rPr>
      </w:pPr>
    </w:p>
    <w:p w14:paraId="1036036D" w14:textId="77777777" w:rsidR="00BC7CBD" w:rsidRPr="006E7ADC" w:rsidRDefault="00BC7CBD" w:rsidP="00BC7CBD">
      <w:pPr>
        <w:spacing w:line="360" w:lineRule="auto"/>
        <w:ind w:left="1134" w:firstLine="1134"/>
        <w:jc w:val="both"/>
        <w:rPr>
          <w:rFonts w:ascii="Arial" w:hAnsi="Arial" w:cs="Arial"/>
          <w:i/>
          <w:iCs/>
          <w:sz w:val="24"/>
          <w:szCs w:val="24"/>
        </w:rPr>
      </w:pPr>
      <w:r w:rsidRPr="006E7ADC">
        <w:rPr>
          <w:rFonts w:ascii="Arial" w:eastAsia="Courier New" w:hAnsi="Arial" w:cs="Arial"/>
          <w:i/>
          <w:iCs/>
          <w:sz w:val="24"/>
          <w:szCs w:val="24"/>
        </w:rPr>
        <w:t>“</w:t>
      </w:r>
      <w:r w:rsidRPr="006E7ADC">
        <w:rPr>
          <w:rFonts w:ascii="Arial" w:hAnsi="Arial" w:cs="Arial"/>
          <w:i/>
          <w:iCs/>
          <w:sz w:val="24"/>
          <w:szCs w:val="24"/>
        </w:rPr>
        <w:t xml:space="preserve">CORREIÇÃO PARCIAL. IRRESIGNAÇÃO CONTRA DECISÃO QUE INDEFERIU PLEITO DE PRODUÇÃO ANTECIPADA DE PROVA. MEDIDA JUSTIFICADA E NECESSÁRIA EM RELAÇÃO ÀS SUPOSTAS VÍTIMAS ADOLESCENTES “PROJETO DEPOIMENTO SEM DANO”. PARCIALMENTE PROCEDENTE. É possível a produção antecipada de prova, desde que urgente, relevante, necessária, adequada e proporcional, </w:t>
      </w:r>
      <w:r w:rsidRPr="006E7ADC">
        <w:rPr>
          <w:rFonts w:ascii="Arial" w:hAnsi="Arial" w:cs="Arial"/>
          <w:i/>
          <w:iCs/>
          <w:sz w:val="24"/>
          <w:szCs w:val="24"/>
        </w:rPr>
        <w:lastRenderedPageBreak/>
        <w:t xml:space="preserve">nos termos do art. 156, inciso I, do Código de Processo Penal. O “depoimento sem </w:t>
      </w:r>
      <w:proofErr w:type="spellStart"/>
      <w:r w:rsidRPr="006E7ADC">
        <w:rPr>
          <w:rFonts w:ascii="Arial" w:hAnsi="Arial" w:cs="Arial"/>
          <w:i/>
          <w:iCs/>
          <w:sz w:val="24"/>
          <w:szCs w:val="24"/>
        </w:rPr>
        <w:t>dano</w:t>
      </w:r>
      <w:proofErr w:type="spellEnd"/>
      <w:r w:rsidRPr="006E7ADC">
        <w:rPr>
          <w:rFonts w:ascii="Arial" w:hAnsi="Arial" w:cs="Arial"/>
          <w:i/>
          <w:iCs/>
          <w:sz w:val="24"/>
          <w:szCs w:val="24"/>
        </w:rPr>
        <w:t>” é procedimento facultativo, recomendado pelo Conselho Nacional de Justiça, sem previsão legal. Pedido parcialmente procedente” (</w:t>
      </w:r>
      <w:r w:rsidRPr="006E7ADC">
        <w:rPr>
          <w:rFonts w:ascii="Arial" w:hAnsi="Arial" w:cs="Arial"/>
          <w:i/>
          <w:iCs/>
          <w:color w:val="333333"/>
          <w:sz w:val="24"/>
          <w:szCs w:val="24"/>
        </w:rPr>
        <w:t xml:space="preserve">TJPR.  5ª </w:t>
      </w:r>
      <w:proofErr w:type="spellStart"/>
      <w:proofErr w:type="gramStart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>C.Criminal</w:t>
      </w:r>
      <w:proofErr w:type="spellEnd"/>
      <w:proofErr w:type="gramEnd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 xml:space="preserve">. Correição Parcial nº 1455564-3.  Peabiru. Rel.: Des. Jorge </w:t>
      </w:r>
      <w:proofErr w:type="spellStart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>Wagih</w:t>
      </w:r>
      <w:proofErr w:type="spellEnd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>Massad</w:t>
      </w:r>
      <w:proofErr w:type="spellEnd"/>
      <w:r w:rsidRPr="006E7ADC">
        <w:rPr>
          <w:rFonts w:ascii="Arial" w:hAnsi="Arial" w:cs="Arial"/>
          <w:i/>
          <w:iCs/>
          <w:color w:val="333333"/>
          <w:sz w:val="24"/>
          <w:szCs w:val="24"/>
        </w:rPr>
        <w:t>. Unânime. Julgado em 21.01.2016).</w:t>
      </w:r>
    </w:p>
    <w:p w14:paraId="032E1776" w14:textId="77777777" w:rsidR="00BC7CBD" w:rsidRPr="006E7ADC" w:rsidRDefault="00BC7CBD" w:rsidP="00BC7CBD">
      <w:pPr>
        <w:spacing w:line="360" w:lineRule="auto"/>
        <w:ind w:left="1134" w:firstLine="1134"/>
        <w:jc w:val="both"/>
        <w:rPr>
          <w:rFonts w:ascii="Arial" w:hAnsi="Arial" w:cs="Arial"/>
          <w:i/>
          <w:iCs/>
          <w:sz w:val="24"/>
          <w:szCs w:val="24"/>
        </w:rPr>
      </w:pPr>
    </w:p>
    <w:p w14:paraId="1A46B973" w14:textId="77777777" w:rsidR="00BC7CBD" w:rsidRPr="006E7ADC" w:rsidRDefault="00BC7CBD" w:rsidP="00BC7CBD">
      <w:pPr>
        <w:spacing w:line="360" w:lineRule="auto"/>
        <w:ind w:left="1134" w:firstLine="1134"/>
        <w:jc w:val="both"/>
        <w:rPr>
          <w:rFonts w:ascii="Arial" w:hAnsi="Arial" w:cs="Arial"/>
          <w:sz w:val="24"/>
          <w:szCs w:val="24"/>
        </w:rPr>
      </w:pPr>
      <w:r w:rsidRPr="006E7ADC">
        <w:rPr>
          <w:rFonts w:ascii="Arial" w:eastAsia="Courier New" w:hAnsi="Arial" w:cs="Arial"/>
          <w:i/>
          <w:iCs/>
          <w:sz w:val="24"/>
          <w:szCs w:val="24"/>
        </w:rPr>
        <w:t>“</w:t>
      </w:r>
      <w:r w:rsidRPr="006E7ADC">
        <w:rPr>
          <w:rFonts w:ascii="Arial" w:hAnsi="Arial" w:cs="Arial"/>
          <w:i/>
          <w:iCs/>
          <w:sz w:val="24"/>
          <w:szCs w:val="24"/>
        </w:rPr>
        <w:t xml:space="preserve">CORREIÇÃO PARCIAL. PLEITO MINISTERIAL DE COLETA ANTECIPADA DO DEPOIMENTO DE PRÉ-ADOLESCENTE TIDA COMO VÍTIMA DE VIOLÊNCIA SEXUAL, MEDIANTE O PROJETO "DEPOIMENTO SEM DANO". ACOLHIMENTO. Relevância da postulação, de induvidosa urgência, inclusive para evitar a diluição ou alteração da prova por via do alongamento de tempo entre a data do fato e a de inquirição da vítima. Priorização objetiva de medida judiciária institucionalizada no denominado "Projeto Depoimento sem Dano - DSD", que objetiva a proteção psicológica de crianças e adolescentes vítimas de abusos sexuais e outras infrações penais que deixam graves sequelas no âmbito da estrutura da personalidade, ainda permitindo a realização de instrução criminal tecnicamente mais apurada, viabilizando uma coleta de prova oral rente ao princípio da veracidade dos fatos havidos. Precedentes no direito comparado. Medida concedida para que a vítima seja inquirida em antecipação de prova e sob a tecnicalidade do "Projeto Depoimento sem Dano". CORREIÇÃO PARCIAL PROCEDENTE” (TJRS. 6ª C. Crim. Correição Parcial nº 70039896659 Rel.: </w:t>
      </w:r>
      <w:proofErr w:type="spellStart"/>
      <w:r w:rsidRPr="006E7ADC">
        <w:rPr>
          <w:rFonts w:ascii="Arial" w:hAnsi="Arial" w:cs="Arial"/>
          <w:i/>
          <w:iCs/>
          <w:sz w:val="24"/>
          <w:szCs w:val="24"/>
        </w:rPr>
        <w:t>Aymoré</w:t>
      </w:r>
      <w:proofErr w:type="spellEnd"/>
      <w:r w:rsidRPr="006E7ADC">
        <w:rPr>
          <w:rFonts w:ascii="Arial" w:hAnsi="Arial" w:cs="Arial"/>
          <w:i/>
          <w:iCs/>
          <w:sz w:val="24"/>
          <w:szCs w:val="24"/>
        </w:rPr>
        <w:t xml:space="preserve"> Roque </w:t>
      </w:r>
      <w:proofErr w:type="spellStart"/>
      <w:r w:rsidRPr="006E7ADC">
        <w:rPr>
          <w:rFonts w:ascii="Arial" w:hAnsi="Arial" w:cs="Arial"/>
          <w:i/>
          <w:iCs/>
          <w:sz w:val="24"/>
          <w:szCs w:val="24"/>
        </w:rPr>
        <w:t>Pottes</w:t>
      </w:r>
      <w:proofErr w:type="spellEnd"/>
      <w:r w:rsidRPr="006E7ADC">
        <w:rPr>
          <w:rFonts w:ascii="Arial" w:hAnsi="Arial" w:cs="Arial"/>
          <w:i/>
          <w:iCs/>
          <w:sz w:val="24"/>
          <w:szCs w:val="24"/>
        </w:rPr>
        <w:t xml:space="preserve"> de Mello. J. em 16/12/2010).</w:t>
      </w:r>
    </w:p>
    <w:p w14:paraId="2645315F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hAnsi="Arial" w:cs="Arial"/>
          <w:sz w:val="24"/>
          <w:szCs w:val="24"/>
        </w:rPr>
      </w:pPr>
    </w:p>
    <w:p w14:paraId="4783C3A8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eastAsia="Courier New" w:hAnsi="Arial" w:cs="Arial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t>2-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Ante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o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exposto,</w:t>
      </w:r>
      <w:r w:rsidRPr="006E7ADC">
        <w:rPr>
          <w:rFonts w:ascii="Arial" w:eastAsia="Courier New" w:hAnsi="Arial" w:cs="Arial"/>
          <w:sz w:val="24"/>
          <w:szCs w:val="24"/>
        </w:rPr>
        <w:t xml:space="preserve"> o Ministério Público requer </w:t>
      </w:r>
      <w:r w:rsidRPr="006E7ADC">
        <w:rPr>
          <w:rFonts w:ascii="Arial" w:hAnsi="Arial" w:cs="Arial"/>
          <w:sz w:val="24"/>
          <w:szCs w:val="24"/>
        </w:rPr>
        <w:t>se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digne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V.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Exa.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determinar</w:t>
      </w:r>
      <w:r w:rsidRPr="006E7ADC">
        <w:rPr>
          <w:rFonts w:ascii="Arial" w:eastAsia="Courier New" w:hAnsi="Arial" w:cs="Arial"/>
          <w:sz w:val="24"/>
          <w:szCs w:val="24"/>
        </w:rPr>
        <w:t xml:space="preserve"> a produção antecipada de prova, devendo a vítima ____, ser ouvida na sala do SAI (Serviço Auxiliar da Infância e Juventude) deste Juízo, através da </w:t>
      </w:r>
      <w:r w:rsidRPr="006E7ADC">
        <w:rPr>
          <w:rFonts w:ascii="Arial" w:eastAsia="Courier New" w:hAnsi="Arial" w:cs="Arial"/>
          <w:sz w:val="24"/>
          <w:szCs w:val="24"/>
        </w:rPr>
        <w:lastRenderedPageBreak/>
        <w:t>técnica do depoimento especial, com transmissão do depoimento em tempo real para sala de audiência, nos exatos termos do art. 12 da Lei nº 13.431/2017.</w:t>
      </w:r>
    </w:p>
    <w:p w14:paraId="24F5DC13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eastAsia="Courier New" w:hAnsi="Arial" w:cs="Arial"/>
          <w:sz w:val="24"/>
          <w:szCs w:val="24"/>
        </w:rPr>
      </w:pPr>
      <w:r w:rsidRPr="006E7ADC">
        <w:rPr>
          <w:rFonts w:ascii="Arial" w:eastAsia="Courier New" w:hAnsi="Arial" w:cs="Arial"/>
          <w:sz w:val="24"/>
          <w:szCs w:val="24"/>
        </w:rPr>
        <w:t xml:space="preserve">Requer o apensamento aos autos de inquérito policial </w:t>
      </w:r>
      <w:r w:rsidRPr="006E7ADC">
        <w:rPr>
          <w:rFonts w:ascii="Arial" w:eastAsia="Courier New" w:hAnsi="Arial" w:cs="Arial"/>
          <w:b/>
          <w:bCs/>
          <w:color w:val="000000"/>
          <w:sz w:val="24"/>
          <w:szCs w:val="24"/>
        </w:rPr>
        <w:t xml:space="preserve">nº _______, </w:t>
      </w:r>
      <w:r w:rsidRPr="006E7ADC">
        <w:rPr>
          <w:rFonts w:ascii="Arial" w:eastAsia="Courier New" w:hAnsi="Arial" w:cs="Arial"/>
          <w:color w:val="000000"/>
          <w:sz w:val="24"/>
          <w:szCs w:val="24"/>
        </w:rPr>
        <w:t>o qual será entregue fisicamente à Vara, sob guarda do sr. Diretor da Secretaria, a fim de possibilitar o acesso integral dos autos à senhora Psicóloga do SAI, a qual deverá ainda responder aos</w:t>
      </w:r>
      <w:r w:rsidRPr="006E7ADC">
        <w:rPr>
          <w:rFonts w:ascii="Arial" w:eastAsia="Courier New" w:hAnsi="Arial" w:cs="Arial"/>
          <w:b/>
          <w:bCs/>
          <w:color w:val="000000"/>
          <w:sz w:val="24"/>
          <w:szCs w:val="24"/>
        </w:rPr>
        <w:t xml:space="preserve"> </w:t>
      </w:r>
      <w:r w:rsidRPr="006E7ADC">
        <w:rPr>
          <w:rFonts w:ascii="Arial" w:eastAsia="Courier New" w:hAnsi="Arial" w:cs="Arial"/>
          <w:b/>
          <w:bCs/>
          <w:sz w:val="24"/>
          <w:szCs w:val="24"/>
        </w:rPr>
        <w:t>quesitos em anexo</w:t>
      </w:r>
      <w:r w:rsidRPr="006E7ADC">
        <w:rPr>
          <w:rFonts w:ascii="Arial" w:eastAsia="Courier New" w:hAnsi="Arial" w:cs="Arial"/>
          <w:sz w:val="24"/>
          <w:szCs w:val="24"/>
        </w:rPr>
        <w:t>, devendo, após, o inquérito retornar ao Ministério Público.</w:t>
      </w:r>
    </w:p>
    <w:p w14:paraId="070888CB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eastAsia="Courier New" w:hAnsi="Arial" w:cs="Arial"/>
          <w:sz w:val="24"/>
          <w:szCs w:val="24"/>
        </w:rPr>
      </w:pPr>
      <w:r w:rsidRPr="006E7ADC">
        <w:rPr>
          <w:rFonts w:ascii="Arial" w:eastAsia="Courier New" w:hAnsi="Arial" w:cs="Arial"/>
          <w:sz w:val="24"/>
          <w:szCs w:val="24"/>
        </w:rPr>
        <w:t xml:space="preserve">Requer a citação do requerido _____, para que constitua Advogado e acompanhe a produção da prova, e, querendo, apresente quesitos, todavia, sem possibilidade de contestação (NCPC, art. 382, §4º </w:t>
      </w:r>
      <w:proofErr w:type="spellStart"/>
      <w:r w:rsidRPr="006E7ADC">
        <w:rPr>
          <w:rFonts w:ascii="Arial" w:eastAsia="Courier New" w:hAnsi="Arial" w:cs="Arial"/>
          <w:sz w:val="24"/>
          <w:szCs w:val="24"/>
        </w:rPr>
        <w:t>c.</w:t>
      </w:r>
      <w:proofErr w:type="gramStart"/>
      <w:r w:rsidRPr="006E7ADC">
        <w:rPr>
          <w:rFonts w:ascii="Arial" w:eastAsia="Courier New" w:hAnsi="Arial" w:cs="Arial"/>
          <w:sz w:val="24"/>
          <w:szCs w:val="24"/>
        </w:rPr>
        <w:t>c</w:t>
      </w:r>
      <w:proofErr w:type="spellEnd"/>
      <w:proofErr w:type="gramEnd"/>
      <w:r w:rsidRPr="006E7ADC">
        <w:rPr>
          <w:rFonts w:ascii="Arial" w:eastAsia="Courier New" w:hAnsi="Arial" w:cs="Arial"/>
          <w:sz w:val="24"/>
          <w:szCs w:val="24"/>
        </w:rPr>
        <w:t xml:space="preserve"> CPP, art. 3º). </w:t>
      </w:r>
    </w:p>
    <w:p w14:paraId="6D747696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eastAsia="Courier New" w:hAnsi="Arial" w:cs="Arial"/>
          <w:sz w:val="24"/>
          <w:szCs w:val="24"/>
        </w:rPr>
      </w:pPr>
      <w:r w:rsidRPr="006E7ADC">
        <w:rPr>
          <w:rFonts w:ascii="Arial" w:eastAsia="Courier New" w:hAnsi="Arial" w:cs="Arial"/>
          <w:sz w:val="24"/>
          <w:szCs w:val="24"/>
        </w:rPr>
        <w:t>Requer também a expedição de ofício ao Juízo da Infância e Juventude, para que tome ciência da data da colheita do depoimento especial, a fim de eventualmente utilizá-lo como prova emprestada.</w:t>
      </w:r>
    </w:p>
    <w:p w14:paraId="27F64417" w14:textId="77777777" w:rsidR="00BC7CBD" w:rsidRPr="006E7ADC" w:rsidRDefault="00BC7CBD" w:rsidP="00BC7CBD">
      <w:pPr>
        <w:spacing w:line="360" w:lineRule="auto"/>
        <w:ind w:right="15" w:firstLine="2835"/>
        <w:jc w:val="both"/>
        <w:rPr>
          <w:rFonts w:ascii="Arial" w:hAnsi="Arial" w:cs="Arial"/>
          <w:sz w:val="24"/>
          <w:szCs w:val="24"/>
        </w:rPr>
      </w:pPr>
      <w:r w:rsidRPr="006E7ADC">
        <w:rPr>
          <w:rFonts w:ascii="Arial" w:eastAsia="Courier New" w:hAnsi="Arial" w:cs="Arial"/>
          <w:sz w:val="24"/>
          <w:szCs w:val="24"/>
        </w:rPr>
        <w:t xml:space="preserve">Por fim, requer a tramitação dos autos em segredo de justiça e com prioridade absoluta, sendo que eventual violação do sigilo processual, </w:t>
      </w:r>
      <w:r w:rsidRPr="006E7ADC">
        <w:rPr>
          <w:rFonts w:ascii="Arial" w:eastAsia="Courier New" w:hAnsi="Arial" w:cs="Arial"/>
          <w:b/>
          <w:bCs/>
          <w:sz w:val="24"/>
          <w:szCs w:val="24"/>
        </w:rPr>
        <w:t>importará em crime punido com reclusão de 1 a 4 anos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eastAsia="Courier New" w:hAnsi="Arial" w:cs="Arial"/>
          <w:b/>
          <w:bCs/>
          <w:sz w:val="24"/>
          <w:szCs w:val="24"/>
        </w:rPr>
        <w:t>e multa</w:t>
      </w:r>
      <w:r w:rsidRPr="006E7ADC">
        <w:rPr>
          <w:rFonts w:ascii="Arial" w:eastAsia="Courier New" w:hAnsi="Arial" w:cs="Arial"/>
          <w:sz w:val="24"/>
          <w:szCs w:val="24"/>
        </w:rPr>
        <w:t>, conforme art. 24 da Lei nº 13.431/2017.</w:t>
      </w:r>
    </w:p>
    <w:p w14:paraId="2D9EF9E7" w14:textId="77777777" w:rsidR="00BC7CBD" w:rsidRPr="006E7ADC" w:rsidRDefault="00BC7CBD" w:rsidP="00BC7CBD">
      <w:pPr>
        <w:pStyle w:val="WW-BodyText2"/>
        <w:ind w:right="15"/>
        <w:rPr>
          <w:rFonts w:ascii="Arial" w:hAnsi="Arial" w:cs="Arial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t>Dá-se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à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causa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o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valor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de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 w:rsidRPr="006E7ADC">
        <w:rPr>
          <w:rFonts w:ascii="Arial" w:hAnsi="Arial" w:cs="Arial"/>
          <w:sz w:val="24"/>
          <w:szCs w:val="24"/>
        </w:rPr>
        <w:t>R$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ourier New" w:hAnsi="Arial" w:cs="Arial"/>
          <w:sz w:val="24"/>
          <w:szCs w:val="24"/>
        </w:rPr>
        <w:t>1.212</w:t>
      </w:r>
      <w:r w:rsidRPr="006E7ADC">
        <w:rPr>
          <w:rFonts w:ascii="Arial" w:eastAsia="Courier New" w:hAnsi="Arial" w:cs="Arial"/>
          <w:sz w:val="24"/>
          <w:szCs w:val="24"/>
        </w:rPr>
        <w:t xml:space="preserve">,00 </w:t>
      </w:r>
      <w:r w:rsidRPr="006E7AD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hum mil e duzentos e doze </w:t>
      </w:r>
      <w:r w:rsidRPr="006E7ADC">
        <w:rPr>
          <w:rFonts w:ascii="Arial" w:hAnsi="Arial" w:cs="Arial"/>
          <w:sz w:val="24"/>
          <w:szCs w:val="24"/>
        </w:rPr>
        <w:t>reais).</w:t>
      </w:r>
    </w:p>
    <w:p w14:paraId="46E5DAB3" w14:textId="77777777" w:rsidR="00BC7CBD" w:rsidRPr="006E7ADC" w:rsidRDefault="00BC7CBD" w:rsidP="00BC7CBD">
      <w:pPr>
        <w:pStyle w:val="WW-BodyText2"/>
        <w:ind w:right="15"/>
        <w:rPr>
          <w:rFonts w:ascii="Arial" w:hAnsi="Arial" w:cs="Arial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orrente/Piauí</w:t>
      </w:r>
      <w:r w:rsidRPr="006E7ADC">
        <w:rPr>
          <w:rFonts w:ascii="Arial" w:hAnsi="Arial" w:cs="Arial"/>
          <w:sz w:val="24"/>
          <w:szCs w:val="24"/>
        </w:rPr>
        <w:t>,</w:t>
      </w:r>
      <w:r w:rsidRPr="006E7ADC">
        <w:rPr>
          <w:rFonts w:ascii="Arial" w:eastAsia="Courier New" w:hAnsi="Arial" w:cs="Arial"/>
          <w:sz w:val="24"/>
          <w:szCs w:val="24"/>
        </w:rPr>
        <w:t xml:space="preserve"> </w:t>
      </w:r>
      <w:r>
        <w:rPr>
          <w:rFonts w:ascii="Arial" w:eastAsia="Courier New" w:hAnsi="Arial" w:cs="Arial"/>
          <w:sz w:val="24"/>
          <w:szCs w:val="24"/>
        </w:rPr>
        <w:t>10 de janeiro de 2022</w:t>
      </w:r>
      <w:r w:rsidRPr="006E7ADC">
        <w:rPr>
          <w:rFonts w:ascii="Arial" w:hAnsi="Arial" w:cs="Arial"/>
          <w:sz w:val="24"/>
          <w:szCs w:val="24"/>
        </w:rPr>
        <w:t>.</w:t>
      </w:r>
    </w:p>
    <w:p w14:paraId="7B03DF50" w14:textId="77777777" w:rsidR="00BC7CBD" w:rsidRPr="006E7ADC" w:rsidRDefault="00BC7CBD" w:rsidP="00BC7CBD">
      <w:pPr>
        <w:pStyle w:val="WW-BodyText2"/>
        <w:ind w:right="15"/>
        <w:rPr>
          <w:rFonts w:ascii="Arial" w:hAnsi="Arial" w:cs="Arial"/>
          <w:sz w:val="24"/>
          <w:szCs w:val="24"/>
        </w:rPr>
      </w:pPr>
    </w:p>
    <w:p w14:paraId="5E9AFB8B" w14:textId="77777777" w:rsidR="00BC7CBD" w:rsidRPr="006E7ADC" w:rsidRDefault="00BC7CBD" w:rsidP="00BC7CBD">
      <w:pPr>
        <w:pStyle w:val="WW-BodyText2"/>
        <w:ind w:right="15"/>
        <w:rPr>
          <w:rFonts w:ascii="Arial" w:eastAsia="Courier New" w:hAnsi="Arial" w:cs="Arial"/>
          <w:sz w:val="24"/>
          <w:szCs w:val="24"/>
        </w:rPr>
      </w:pPr>
      <w:r w:rsidRPr="006E7ADC">
        <w:rPr>
          <w:rFonts w:ascii="Arial" w:hAnsi="Arial" w:cs="Arial"/>
          <w:sz w:val="24"/>
          <w:szCs w:val="24"/>
        </w:rPr>
        <w:t>________________________</w:t>
      </w:r>
    </w:p>
    <w:p w14:paraId="7AB0EA85" w14:textId="77777777" w:rsidR="00BC7CBD" w:rsidRPr="006E7ADC" w:rsidRDefault="00BC7CBD" w:rsidP="00BC7CBD">
      <w:pPr>
        <w:autoSpaceDE/>
        <w:spacing w:line="360" w:lineRule="auto"/>
        <w:ind w:firstLine="2552"/>
        <w:jc w:val="both"/>
        <w:rPr>
          <w:rFonts w:ascii="Arial" w:hAnsi="Arial" w:cs="Arial"/>
          <w:sz w:val="24"/>
          <w:szCs w:val="24"/>
        </w:rPr>
      </w:pPr>
      <w:r w:rsidRPr="006E7ADC">
        <w:rPr>
          <w:rFonts w:ascii="Arial" w:eastAsia="Courier New" w:hAnsi="Arial" w:cs="Arial"/>
          <w:sz w:val="24"/>
          <w:szCs w:val="24"/>
        </w:rPr>
        <w:tab/>
        <w:t xml:space="preserve">     Promotor de Justiça </w:t>
      </w:r>
    </w:p>
    <w:p w14:paraId="7021E726" w14:textId="77777777" w:rsidR="006365FB" w:rsidRDefault="002219DB"/>
    <w:sectPr w:rsidR="006365FB" w:rsidSect="00FA5A5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50" w:right="1134" w:bottom="1418" w:left="170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9F2D" w14:textId="77777777" w:rsidR="00077A13" w:rsidRDefault="00077A13" w:rsidP="00BC7CBD">
      <w:r>
        <w:separator/>
      </w:r>
    </w:p>
  </w:endnote>
  <w:endnote w:type="continuationSeparator" w:id="0">
    <w:p w14:paraId="34804D53" w14:textId="77777777" w:rsidR="00077A13" w:rsidRDefault="00077A13" w:rsidP="00BC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9FC6" w14:textId="77777777" w:rsidR="00170609" w:rsidRPr="006E7ADC" w:rsidRDefault="00077A13" w:rsidP="006E7ADC">
    <w:pPr>
      <w:pStyle w:val="Rodap"/>
      <w:jc w:val="center"/>
      <w:rPr>
        <w:sz w:val="24"/>
        <w:szCs w:val="24"/>
      </w:rPr>
    </w:pPr>
    <w:r w:rsidRPr="006E7ADC">
      <w:rPr>
        <w:rStyle w:val="Nmerodepgina"/>
        <w:sz w:val="24"/>
        <w:szCs w:val="24"/>
      </w:rPr>
      <w:fldChar w:fldCharType="begin"/>
    </w:r>
    <w:r w:rsidRPr="006E7ADC">
      <w:rPr>
        <w:rStyle w:val="Nmerodepgina"/>
        <w:sz w:val="24"/>
        <w:szCs w:val="24"/>
      </w:rPr>
      <w:instrText xml:space="preserve"> PAGE </w:instrText>
    </w:r>
    <w:r w:rsidRPr="006E7ADC">
      <w:rPr>
        <w:rStyle w:val="Nmerodepgina"/>
        <w:sz w:val="24"/>
        <w:szCs w:val="24"/>
      </w:rPr>
      <w:fldChar w:fldCharType="separate"/>
    </w:r>
    <w:r w:rsidR="009D440F">
      <w:rPr>
        <w:rStyle w:val="Nmerodepgina"/>
        <w:noProof/>
        <w:sz w:val="24"/>
        <w:szCs w:val="24"/>
      </w:rPr>
      <w:t>1</w:t>
    </w:r>
    <w:r w:rsidRPr="006E7ADC">
      <w:rPr>
        <w:rStyle w:val="Nmerodepgin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17F2" w14:textId="77777777" w:rsidR="00170609" w:rsidRPr="00E86C97" w:rsidRDefault="00077A13" w:rsidP="00E86C97">
    <w:pPr>
      <w:pStyle w:val="Rodap"/>
      <w:jc w:val="center"/>
      <w:rPr>
        <w:sz w:val="24"/>
        <w:szCs w:val="24"/>
      </w:rPr>
    </w:pPr>
    <w:r w:rsidRPr="00E86C97">
      <w:rPr>
        <w:rStyle w:val="Nmerodepgina"/>
        <w:sz w:val="24"/>
        <w:szCs w:val="24"/>
      </w:rPr>
      <w:fldChar w:fldCharType="begin"/>
    </w:r>
    <w:r w:rsidRPr="00E86C97">
      <w:rPr>
        <w:rStyle w:val="Nmerodepgina"/>
        <w:sz w:val="24"/>
        <w:szCs w:val="24"/>
      </w:rPr>
      <w:instrText xml:space="preserve"> PAGE </w:instrText>
    </w:r>
    <w:r w:rsidRPr="00E86C97">
      <w:rPr>
        <w:rStyle w:val="Nmerodepgina"/>
        <w:sz w:val="24"/>
        <w:szCs w:val="24"/>
      </w:rPr>
      <w:fldChar w:fldCharType="separate"/>
    </w:r>
    <w:r>
      <w:rPr>
        <w:rStyle w:val="Nmerodepgina"/>
        <w:noProof/>
        <w:sz w:val="24"/>
        <w:szCs w:val="24"/>
      </w:rPr>
      <w:t>1</w:t>
    </w:r>
    <w:r w:rsidRPr="00E86C97">
      <w:rPr>
        <w:rStyle w:val="Nmerodepgin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AB5F" w14:textId="77777777" w:rsidR="00077A13" w:rsidRDefault="00077A13" w:rsidP="00BC7CBD">
      <w:r>
        <w:separator/>
      </w:r>
    </w:p>
  </w:footnote>
  <w:footnote w:type="continuationSeparator" w:id="0">
    <w:p w14:paraId="56600E89" w14:textId="77777777" w:rsidR="00077A13" w:rsidRDefault="00077A13" w:rsidP="00BC7CBD">
      <w:r>
        <w:continuationSeparator/>
      </w:r>
    </w:p>
  </w:footnote>
  <w:footnote w:id="1">
    <w:p w14:paraId="3E1A925C" w14:textId="77777777" w:rsidR="00BC7CBD" w:rsidRDefault="00BC7CBD" w:rsidP="00BC7CBD">
      <w:pPr>
        <w:pStyle w:val="Textodenotaderodap"/>
        <w:jc w:val="both"/>
      </w:pPr>
      <w:r>
        <w:rPr>
          <w:rStyle w:val="Caracteresdenotaderodap"/>
          <w:rFonts w:ascii="Courier New" w:hAnsi="Courier New"/>
        </w:rPr>
        <w:footnoteRef/>
      </w:r>
      <w:r>
        <w:tab/>
        <w:t xml:space="preserve">A </w:t>
      </w:r>
      <w:proofErr w:type="spellStart"/>
      <w:r>
        <w:rPr>
          <w:i/>
          <w:iCs/>
        </w:rPr>
        <w:t>Childhood</w:t>
      </w:r>
      <w:proofErr w:type="spellEnd"/>
      <w:r>
        <w:t xml:space="preserve"> Brasil é uma organização brasileira que trabalha, desde 1999, para influenciar a agenda de proteção da infância e adolescência no país. A organização tem o papel de garantir que os assuntos relacionados ao abuso e a exploração sexual de crianças e adolescentes sejam pauta de políticas públicas e do setor privado, oferecendo informação, soluções e estratégias para as diferentes esferas da sociedade. A </w:t>
      </w:r>
      <w:proofErr w:type="spellStart"/>
      <w:r>
        <w:t>Childhood</w:t>
      </w:r>
      <w:proofErr w:type="spellEnd"/>
      <w:r>
        <w:t xml:space="preserve"> Brasil é certificada como Organização da Sociedade Civil de Interesse Público (</w:t>
      </w:r>
      <w:proofErr w:type="spellStart"/>
      <w:r>
        <w:t>Oscip</w:t>
      </w:r>
      <w:proofErr w:type="spellEnd"/>
      <w:r>
        <w:t xml:space="preserve">) e faz parte da World </w:t>
      </w:r>
      <w:proofErr w:type="spellStart"/>
      <w:r>
        <w:t>Childhood</w:t>
      </w:r>
      <w:proofErr w:type="spellEnd"/>
      <w:r>
        <w:t xml:space="preserve"> Foundation (</w:t>
      </w:r>
      <w:proofErr w:type="spellStart"/>
      <w:r>
        <w:t>Childhood</w:t>
      </w:r>
      <w:proofErr w:type="spellEnd"/>
      <w:r>
        <w:t>), instituição internacional criada pela Rainha Silvia da Suécia.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A1C9" w14:textId="77777777" w:rsidR="00170609" w:rsidRDefault="002219DB">
    <w:pPr>
      <w:pStyle w:val="Cabealho"/>
      <w:jc w:val="center"/>
      <w:rPr>
        <w:rFonts w:cs="Umbrella"/>
        <w:b/>
        <w:sz w:val="32"/>
      </w:rPr>
    </w:pPr>
  </w:p>
  <w:p w14:paraId="44AA6081" w14:textId="77777777" w:rsidR="00170609" w:rsidRDefault="009D440F">
    <w:pPr>
      <w:pStyle w:val="Cabealho"/>
      <w:jc w:val="center"/>
      <w:rPr>
        <w:b/>
        <w:i/>
        <w:sz w:val="24"/>
      </w:rPr>
    </w:pPr>
    <w:r w:rsidRPr="00F21E45">
      <w:rPr>
        <w:rFonts w:cstheme="minorHAnsi"/>
        <w:b/>
        <w:bCs/>
        <w:noProof/>
        <w:lang w:eastAsia="pt-BR"/>
      </w:rPr>
      <w:drawing>
        <wp:inline distT="0" distB="0" distL="0" distR="0" wp14:anchorId="35BBF1A6" wp14:editId="06323F48">
          <wp:extent cx="4238625" cy="561975"/>
          <wp:effectExtent l="0" t="0" r="9525" b="9525"/>
          <wp:docPr id="4" name="Imagem 4" descr="Ministério Público do Estado do Piau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ério Público do Estado do Piau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4725" w14:textId="77777777" w:rsidR="00170609" w:rsidRDefault="002219DB">
    <w:pPr>
      <w:pStyle w:val="Cabealho"/>
      <w:jc w:val="center"/>
    </w:pPr>
  </w:p>
  <w:p w14:paraId="7B682556" w14:textId="77777777" w:rsidR="00170609" w:rsidRDefault="00BC7CBD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3CCE0608" wp14:editId="46CA2DEF">
          <wp:simplePos x="0" y="0"/>
          <wp:positionH relativeFrom="column">
            <wp:posOffset>2593975</wp:posOffset>
          </wp:positionH>
          <wp:positionV relativeFrom="paragraph">
            <wp:posOffset>-24765</wp:posOffset>
          </wp:positionV>
          <wp:extent cx="708025" cy="87947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70" r="-89" b="-70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879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D5EB5" w14:textId="77777777" w:rsidR="00170609" w:rsidRDefault="002219DB">
    <w:pPr>
      <w:pStyle w:val="Cabealho"/>
      <w:jc w:val="center"/>
    </w:pPr>
  </w:p>
  <w:p w14:paraId="2FD7395F" w14:textId="77777777" w:rsidR="00170609" w:rsidRDefault="002219DB">
    <w:pPr>
      <w:pStyle w:val="Cabealho"/>
      <w:jc w:val="center"/>
    </w:pPr>
  </w:p>
  <w:p w14:paraId="6EC0AF66" w14:textId="77777777" w:rsidR="00170609" w:rsidRDefault="002219DB">
    <w:pPr>
      <w:pStyle w:val="Cabealho"/>
      <w:jc w:val="center"/>
    </w:pPr>
  </w:p>
  <w:p w14:paraId="7115DD9A" w14:textId="77777777" w:rsidR="00170609" w:rsidRDefault="002219DB">
    <w:pPr>
      <w:pStyle w:val="Cabealho"/>
      <w:jc w:val="center"/>
    </w:pPr>
  </w:p>
  <w:p w14:paraId="6EE35F65" w14:textId="77777777" w:rsidR="00170609" w:rsidRDefault="002219DB">
    <w:pPr>
      <w:pStyle w:val="Cabealho"/>
      <w:jc w:val="center"/>
    </w:pPr>
  </w:p>
  <w:p w14:paraId="23CF88AC" w14:textId="77777777" w:rsidR="00170609" w:rsidRDefault="00077A13">
    <w:pPr>
      <w:pStyle w:val="Cabealho"/>
      <w:jc w:val="center"/>
      <w:rPr>
        <w:b/>
        <w:i/>
        <w:sz w:val="24"/>
      </w:rPr>
    </w:pPr>
    <w:r>
      <w:rPr>
        <w:rFonts w:cs="Umbrella"/>
        <w:b/>
        <w:sz w:val="32"/>
      </w:rPr>
      <w:t>MINISTÉRIO PÚBLICO DO ESTADO DO PARANÁ</w:t>
    </w:r>
  </w:p>
  <w:p w14:paraId="6BBB065F" w14:textId="77777777" w:rsidR="00170609" w:rsidRDefault="00077A13">
    <w:pPr>
      <w:pStyle w:val="Cabealho"/>
      <w:jc w:val="center"/>
      <w:rPr>
        <w:b/>
        <w:i/>
        <w:sz w:val="24"/>
      </w:rPr>
    </w:pPr>
    <w:r>
      <w:rPr>
        <w:b/>
        <w:i/>
        <w:sz w:val="24"/>
      </w:rPr>
      <w:t>__-ª PROMOTORIA DE JUSTIÇA DA COMARCA DE ____</w:t>
    </w:r>
  </w:p>
  <w:p w14:paraId="00F06D31" w14:textId="77777777" w:rsidR="00170609" w:rsidRDefault="002219DB">
    <w:pPr>
      <w:pStyle w:val="Cabealho"/>
      <w:jc w:val="center"/>
      <w:rPr>
        <w:b/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BD"/>
    <w:rsid w:val="00077A13"/>
    <w:rsid w:val="002219DB"/>
    <w:rsid w:val="009D440F"/>
    <w:rsid w:val="00BB7F5B"/>
    <w:rsid w:val="00BC7CBD"/>
    <w:rsid w:val="00E1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8E998"/>
  <w15:chartTrackingRefBased/>
  <w15:docId w15:val="{A722BD40-F705-4D18-A3B7-7CB4CAEE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B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C7CBD"/>
  </w:style>
  <w:style w:type="character" w:customStyle="1" w:styleId="Caracteresdenotaderodap">
    <w:name w:val="Caracteres de nota de rodapé"/>
    <w:rsid w:val="00BC7CBD"/>
    <w:rPr>
      <w:vertAlign w:val="superscript"/>
    </w:rPr>
  </w:style>
  <w:style w:type="character" w:styleId="Refdenotaderodap">
    <w:name w:val="footnote reference"/>
    <w:rsid w:val="00BC7CBD"/>
    <w:rPr>
      <w:vertAlign w:val="superscript"/>
    </w:rPr>
  </w:style>
  <w:style w:type="paragraph" w:styleId="Cabealho">
    <w:name w:val="header"/>
    <w:basedOn w:val="Normal"/>
    <w:link w:val="CabealhoChar"/>
    <w:rsid w:val="00BC7C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C7CBD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Rodap">
    <w:name w:val="footer"/>
    <w:basedOn w:val="Normal"/>
    <w:link w:val="RodapChar"/>
    <w:rsid w:val="00BC7C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C7CBD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BC7CBD"/>
    <w:pPr>
      <w:keepNext/>
      <w:spacing w:line="360" w:lineRule="auto"/>
      <w:ind w:right="326" w:firstLine="2835"/>
      <w:jc w:val="both"/>
    </w:pPr>
    <w:rPr>
      <w:sz w:val="28"/>
    </w:rPr>
  </w:style>
  <w:style w:type="paragraph" w:styleId="Textodenotaderodap">
    <w:name w:val="footnote text"/>
    <w:basedOn w:val="Normal"/>
    <w:link w:val="TextodenotaderodapChar"/>
    <w:rsid w:val="00BC7CBD"/>
  </w:style>
  <w:style w:type="character" w:customStyle="1" w:styleId="TextodenotaderodapChar">
    <w:name w:val="Texto de nota de rodapé Char"/>
    <w:basedOn w:val="Fontepargpadro"/>
    <w:link w:val="Textodenotaderodap"/>
    <w:rsid w:val="00BC7CBD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WW-Padro">
    <w:name w:val="WW-Padrão"/>
    <w:rsid w:val="00BC7CB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3" ma:contentTypeDescription="Crie um novo documento." ma:contentTypeScope="" ma:versionID="8ba491b899fe69203ca9c434f0c99c0f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111bb55189b39b3327c0810f284a1b14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F0BA9-E1A7-4A2B-B750-92A1F0BFE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FF4AF8-CE12-458B-89A9-59943CA88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FB1BE-46A2-4417-84F6-CAE085EF9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d12f6-325d-4b0a-87cf-4bbc7d4ef9cb"/>
    <ds:schemaRef ds:uri="578dea2c-9e03-4392-bdbc-4ea5ca3d5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1189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Nava Junior</dc:creator>
  <cp:keywords/>
  <dc:description/>
  <cp:lastModifiedBy>GLAUCO VENTURA ALVES NERI</cp:lastModifiedBy>
  <cp:revision>2</cp:revision>
  <dcterms:created xsi:type="dcterms:W3CDTF">2022-03-17T11:33:00Z</dcterms:created>
  <dcterms:modified xsi:type="dcterms:W3CDTF">2022-03-17T11:33:00Z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