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8.jpeg" ContentType="image/jpeg"/>
  <Override PartName="/word/media/image7.png" ContentType="image/png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word/media/image1.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Style w:val="Markiyi25tnuu"/>
          <w:rFonts w:ascii="Times New Roman" w:hAnsi="Times New Roman" w:cs="Times New Roman"/>
          <w:b/>
          <w:b/>
          <w:bCs/>
          <w:color w:val="201F1E"/>
          <w:sz w:val="28"/>
          <w:szCs w:val="28"/>
          <w:highlight w:val="white"/>
          <w:u w:val="single"/>
        </w:rPr>
      </w:pPr>
      <w:r>
        <w:rPr>
          <w:rFonts w:cs="Times New Roman" w:ascii="Times New Roman" w:hAnsi="Times New Roman"/>
          <w:b/>
          <w:bCs/>
          <w:sz w:val="28"/>
          <w:szCs w:val="28"/>
          <w:u w:val="single"/>
        </w:rPr>
        <w:t xml:space="preserve">PASSO A PASSO PARA ACESSO À </w:t>
      </w:r>
      <w:r>
        <w:rPr>
          <w:rFonts w:cs="Times New Roman" w:ascii="Times New Roman" w:hAnsi="Times New Roman"/>
          <w:b/>
          <w:bCs/>
          <w:color w:val="201F1E"/>
          <w:sz w:val="28"/>
          <w:szCs w:val="28"/>
          <w:u w:val="single"/>
          <w:shd w:fill="FFFFFF" w:val="clear"/>
        </w:rPr>
        <w:t>Central Notarial de Serviços Eletrônicos Compartilhados – </w:t>
      </w:r>
      <w:r>
        <w:rPr>
          <w:rStyle w:val="Markiyi25tnuu"/>
          <w:rFonts w:cs="Times New Roman" w:ascii="Times New Roman" w:hAnsi="Times New Roman"/>
          <w:b/>
          <w:bCs/>
          <w:color w:val="201F1E"/>
          <w:sz w:val="28"/>
          <w:szCs w:val="28"/>
          <w:u w:val="single"/>
          <w:shd w:fill="FFFFFF" w:val="clear"/>
        </w:rPr>
        <w:t>Censec</w:t>
      </w:r>
      <w:r>
        <w:rPr>
          <w:rStyle w:val="Ncoradanotaderodap"/>
          <w:rFonts w:cs="Times New Roman" w:ascii="Times New Roman" w:hAnsi="Times New Roman"/>
          <w:b/>
          <w:bCs/>
          <w:color w:val="201F1E"/>
          <w:sz w:val="28"/>
          <w:szCs w:val="28"/>
          <w:u w:val="single"/>
          <w:shd w:fill="FFFFFF" w:val="clear"/>
        </w:rPr>
        <w:footnoteReference w:id="2"/>
      </w:r>
    </w:p>
    <w:p>
      <w:pPr>
        <w:pStyle w:val="Normal"/>
        <w:jc w:val="center"/>
        <w:rPr>
          <w:rStyle w:val="Markiyi25tnuu"/>
          <w:rFonts w:ascii="Times New Roman" w:hAnsi="Times New Roman" w:cs="Times New Roman"/>
          <w:b/>
          <w:b/>
          <w:bCs/>
          <w:color w:val="201F1E"/>
          <w:sz w:val="28"/>
          <w:szCs w:val="28"/>
          <w:highlight w:val="white"/>
          <w:u w:val="single"/>
        </w:rPr>
      </w:pPr>
      <w:r>
        <w:rPr>
          <w:rFonts w:cs="Times New Roman" w:ascii="Times New Roman" w:hAnsi="Times New Roman"/>
          <w:b/>
          <w:bCs/>
          <w:color w:val="201F1E"/>
          <w:sz w:val="28"/>
          <w:szCs w:val="28"/>
          <w:highlight w:val="white"/>
          <w:u w:val="single"/>
        </w:rPr>
      </w:r>
    </w:p>
    <w:p>
      <w:pPr>
        <w:pStyle w:val="ListParagraph"/>
        <w:numPr>
          <w:ilvl w:val="0"/>
          <w:numId w:val="2"/>
        </w:numPr>
        <w:jc w:val="both"/>
        <w:rPr>
          <w:rStyle w:val="Markiyi25tnuu"/>
          <w:rFonts w:ascii="Times New Roman" w:hAnsi="Times New Roman" w:cs="Times New Roman"/>
          <w:b/>
          <w:b/>
          <w:bCs/>
          <w:sz w:val="28"/>
          <w:szCs w:val="28"/>
          <w:highlight w:val="white"/>
          <w:u w:val="single"/>
        </w:rPr>
      </w:pPr>
      <w:r>
        <w:rPr>
          <w:rStyle w:val="Markiyi25tnuu"/>
          <w:rFonts w:cs="Times New Roman" w:ascii="Times New Roman" w:hAnsi="Times New Roman"/>
          <w:b/>
          <w:bCs/>
          <w:sz w:val="28"/>
          <w:szCs w:val="28"/>
          <w:u w:val="single"/>
          <w:shd w:fill="FFFFFF" w:val="clear"/>
        </w:rPr>
        <w:t>O que é?</w:t>
      </w:r>
    </w:p>
    <w:p>
      <w:pPr>
        <w:pStyle w:val="Normal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Normal"/>
        <w:ind w:firstLine="708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O Colégio Notarial do Brasil possui um sistema para gerenciar banco de dados com informações acerca de testamentos, procurações e escrituras públicas de qualquer natureza lavradas em todos os cartórios.</w:t>
      </w:r>
    </w:p>
    <w:p>
      <w:pPr>
        <w:pStyle w:val="Normal"/>
        <w:ind w:firstLine="708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Normal"/>
        <w:ind w:firstLine="708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Assim, após o cadastro prévio, mediante token, é possível aos usuários acessar, por nome ou CPF/CNPJ informações sobre a existência de atos notariais lavrados envolvendo as pessoas físicas ou jurídicas consultadas, bem assim, data, folhas e livro em que foram lavrados. A consulta não fornece o ato em si, mas informa a qualidade do sujeito (outorgante/outorgado, interveniente), além de dados que facilitam a requisição do ato.</w:t>
      </w:r>
    </w:p>
    <w:p>
      <w:pPr>
        <w:pStyle w:val="Normal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ListParagraph"/>
        <w:numPr>
          <w:ilvl w:val="0"/>
          <w:numId w:val="2"/>
        </w:numPr>
        <w:jc w:val="both"/>
        <w:rPr>
          <w:rStyle w:val="Markiyi25tnuu"/>
          <w:b/>
          <w:b/>
          <w:bCs/>
          <w:sz w:val="28"/>
          <w:szCs w:val="28"/>
          <w:highlight w:val="white"/>
          <w:u w:val="single"/>
        </w:rPr>
      </w:pPr>
      <w:r>
        <w:rPr>
          <w:rStyle w:val="Markiyi25tnuu"/>
          <w:b/>
          <w:bCs/>
          <w:sz w:val="28"/>
          <w:szCs w:val="28"/>
          <w:u w:val="single"/>
          <w:shd w:fill="FFFFFF" w:val="clear"/>
        </w:rPr>
        <w:t>Importância para Investigações  de Atos que Envolvam Interpostas Pessoas (“laranjas”)</w:t>
      </w:r>
    </w:p>
    <w:p>
      <w:pPr>
        <w:pStyle w:val="Normal"/>
        <w:jc w:val="both"/>
        <w:rPr>
          <w:rStyle w:val="Markiyi25tnuu"/>
          <w:b/>
          <w:b/>
          <w:bCs/>
          <w:sz w:val="28"/>
          <w:szCs w:val="28"/>
          <w:highlight w:val="white"/>
          <w:u w:val="single"/>
        </w:rPr>
      </w:pPr>
      <w:r>
        <w:rPr>
          <w:b/>
          <w:bCs/>
          <w:sz w:val="28"/>
          <w:szCs w:val="28"/>
          <w:highlight w:val="white"/>
          <w:u w:val="single"/>
        </w:rPr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É comum o uso de interpostas pessoas para abertura de CNPJs ou uso de contas bancárias. Em muitos casos, especialmente quando a interposta pessoa não possui vínculos próximos com o agente ativo do ilícito, que seja utilizadas procurações públicas em quem o “laranja” é outorgante de poderes ao agente ativo (outorgado). Diga-se que instituições financeiras exigem procuração pública para que outrem seja habilitado como procurador habilitado a movimentar contas bancárias em nome de empresas das quais não são administradores ou contas em nome de terceiros.</w:t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O rápido acesso a esta informação (se consta procurações envolvendo os investigados, “laranja” como outorgante e agente ativo como outorgado), permite a detecção de vínculo, bem assim a rápida requisição, por e-mail, ao cartório em que fora lavrado o ato.</w:t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 xml:space="preserve">Portanto, a habilitação para acesso à pesquisa é uma ferramenta muito importante aos Promotores e Promotoras de Justiça para investigações que possam envolver lavagem de dinheiro, fraudes às licitações (p.ex., criação de empresas </w:t>
      </w:r>
      <w:r>
        <w:rPr>
          <w:rStyle w:val="Markiyi25tnuu"/>
          <w:i/>
          <w:iCs/>
          <w:sz w:val="28"/>
          <w:szCs w:val="28"/>
          <w:shd w:fill="FFFFFF" w:val="clear"/>
        </w:rPr>
        <w:t xml:space="preserve">fake </w:t>
      </w:r>
      <w:r>
        <w:rPr>
          <w:rStyle w:val="Markiyi25tnuu"/>
          <w:sz w:val="28"/>
          <w:szCs w:val="28"/>
          <w:shd w:fill="FFFFFF" w:val="clear"/>
        </w:rPr>
        <w:t>para forjar concorrência ou empresa, de fato, pertencente a agente público impedido de contratar com o poder público, que acaba sendo colocada em nome de interposta pessoa, para burlar a vedação). Ademais, a consulta a escrituras é importante fonte de pesquisa para investigação e persecução patrimonial.</w:t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ListParagraph"/>
        <w:numPr>
          <w:ilvl w:val="0"/>
          <w:numId w:val="2"/>
        </w:numPr>
        <w:jc w:val="both"/>
        <w:rPr>
          <w:rStyle w:val="Markiyi25tnuu"/>
          <w:b/>
          <w:b/>
          <w:bCs/>
          <w:sz w:val="28"/>
          <w:szCs w:val="28"/>
          <w:highlight w:val="white"/>
          <w:u w:val="single"/>
        </w:rPr>
      </w:pPr>
      <w:r>
        <w:rPr>
          <w:rStyle w:val="Markiyi25tnuu"/>
          <w:b/>
          <w:bCs/>
          <w:sz w:val="28"/>
          <w:szCs w:val="28"/>
          <w:u w:val="single"/>
          <w:shd w:fill="FFFFFF" w:val="clear"/>
        </w:rPr>
        <w:t>Apresentação da Página</w:t>
      </w:r>
    </w:p>
    <w:p>
      <w:pPr>
        <w:pStyle w:val="Normal"/>
        <w:ind w:firstLine="567"/>
        <w:jc w:val="both"/>
        <w:rPr>
          <w:rStyle w:val="Markiyi25tnuu"/>
          <w:b/>
          <w:b/>
          <w:bCs/>
          <w:sz w:val="28"/>
          <w:szCs w:val="28"/>
          <w:highlight w:val="white"/>
          <w:u w:val="single"/>
        </w:rPr>
      </w:pPr>
      <w:r>
        <w:rPr>
          <w:b/>
          <w:bCs/>
          <w:sz w:val="28"/>
          <w:szCs w:val="28"/>
          <w:highlight w:val="white"/>
          <w:u w:val="single"/>
        </w:rPr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A página para consulta é:</w:t>
      </w:r>
    </w:p>
    <w:p>
      <w:pPr>
        <w:pStyle w:val="ListParagraph"/>
        <w:numPr>
          <w:ilvl w:val="0"/>
          <w:numId w:val="1"/>
        </w:numPr>
        <w:jc w:val="both"/>
        <w:rPr/>
      </w:pPr>
      <w:hyperlink r:id="rId2">
        <w:r>
          <w:rPr>
            <w:rStyle w:val="LinkdaInternet"/>
            <w:sz w:val="28"/>
            <w:szCs w:val="28"/>
            <w:highlight w:val="white"/>
          </w:rPr>
          <w:t>https://censec.org.br/</w:t>
        </w:r>
      </w:hyperlink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Eis o seu layout:</w:t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/>
        <w:drawing>
          <wp:inline distT="0" distB="0" distL="0" distR="0">
            <wp:extent cx="5399405" cy="5175885"/>
            <wp:effectExtent l="0" t="0" r="0" b="0"/>
            <wp:docPr id="2" name="Imagem 1" descr="Interface gráfica do usuár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Interface gráfica do usuári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2" wp14:anchorId="5406282A">
                <wp:simplePos x="0" y="0"/>
                <wp:positionH relativeFrom="column">
                  <wp:posOffset>5717540</wp:posOffset>
                </wp:positionH>
                <wp:positionV relativeFrom="paragraph">
                  <wp:posOffset>196850</wp:posOffset>
                </wp:positionV>
                <wp:extent cx="535305" cy="345440"/>
                <wp:effectExtent l="19050" t="19050" r="17780" b="36195"/>
                <wp:wrapNone/>
                <wp:docPr id="1" name="Seta: para a Esquerda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00" cy="34488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66" coordsize="21600,21600" o:spt="66" adj="10800,10800" path="m,10800l@3,l@3@5l21600@5l21600@6l@3@6l@3,21600xe">
                <v:stroke joinstyle="miter"/>
                <v:formulas>
                  <v:f eqn="val 21600"/>
                  <v:f eqn="val #1"/>
                  <v:f eqn="val #0"/>
                  <v:f eqn="sum 0 @2 0"/>
                  <v:f eqn="prod 1 @1 2"/>
                  <v:f eqn="sum 10800 0 @4"/>
                  <v:f eqn="sum 10800 @4 0"/>
                  <v:f eqn="prod @5 @2 10800"/>
                  <v:f eqn="sum @3 0 @7"/>
                </v:formulas>
                <v:path gradientshapeok="t" o:connecttype="rect" textboxrect="@8,@5,21600,@6"/>
                <v:handles>
                  <v:h position="21600,@5"/>
                  <v:h position="@3,0"/>
                </v:handles>
              </v:shapetype>
              <v:shape id="shape_0" ID="Seta: para a Esquerda 2" fillcolor="#4472c4" stroked="t" style="position:absolute;margin-left:450.2pt;margin-top:15.5pt;width:42.05pt;height:27.1pt" wp14:anchorId="5406282A" type="shapetype_66">
                <w10:wrap type="none"/>
                <v:fill o:detectmouseclick="t" type="solid" color2="#bb8d3b"/>
                <v:stroke color="#325490" weight="12600" joinstyle="miter" endcap="flat"/>
              </v:shape>
            </w:pict>
          </mc:Fallback>
        </mc:AlternateContent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A seta azul, indica o ícone para acesso à área restrita, a qual o membro e servidor por si designado, terá acesso após a habilitação de usuário pela Central Notarial de Serviços Eletrônicos Compartilhados – Censec, mediante assinatura eletrônica.</w:t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ListParagraph"/>
        <w:ind w:left="0" w:firstLine="709"/>
        <w:jc w:val="both"/>
        <w:rPr>
          <w:rStyle w:val="Markiyi25tnuu"/>
          <w:i/>
          <w:i/>
          <w:iCs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 xml:space="preserve">Após clicar no ícone e validar o acesso por </w:t>
      </w:r>
      <w:r>
        <w:rPr>
          <w:rStyle w:val="Markiyi25tnuu"/>
          <w:i/>
          <w:iCs/>
          <w:sz w:val="28"/>
          <w:szCs w:val="28"/>
          <w:shd w:fill="FFFFFF" w:val="clear"/>
        </w:rPr>
        <w:t xml:space="preserve">token, </w:t>
      </w:r>
      <w:r>
        <w:rPr>
          <w:rStyle w:val="Markiyi25tnuu"/>
          <w:sz w:val="28"/>
          <w:szCs w:val="28"/>
          <w:shd w:fill="FFFFFF" w:val="clear"/>
        </w:rPr>
        <w:t xml:space="preserve">será aberta a página de consulta, com o seguinte </w:t>
      </w:r>
      <w:r>
        <w:rPr>
          <w:rStyle w:val="Markiyi25tnuu"/>
          <w:i/>
          <w:iCs/>
          <w:sz w:val="28"/>
          <w:szCs w:val="28"/>
          <w:shd w:fill="FFFFFF" w:val="clear"/>
        </w:rPr>
        <w:t>layout:</w:t>
      </w:r>
    </w:p>
    <w:p>
      <w:pPr>
        <w:pStyle w:val="ListParagraph"/>
        <w:ind w:left="0" w:firstLine="709"/>
        <w:jc w:val="both"/>
        <w:rPr>
          <w:rStyle w:val="Markiyi25tnuu"/>
          <w:i/>
          <w:i/>
          <w:iCs/>
          <w:sz w:val="28"/>
          <w:szCs w:val="28"/>
          <w:highlight w:val="white"/>
        </w:rPr>
      </w:pPr>
      <w:r>
        <w:rPr>
          <w:i/>
          <w:iCs/>
          <w:sz w:val="28"/>
          <w:szCs w:val="28"/>
          <w:highlight w:val="white"/>
        </w:rPr>
      </w:r>
    </w:p>
    <w:p>
      <w:pPr>
        <w:pStyle w:val="ListParagraph"/>
        <w:ind w:left="0" w:firstLine="709"/>
        <w:jc w:val="both"/>
        <w:rPr>
          <w:rStyle w:val="Markiyi25tnuu"/>
          <w:i/>
          <w:i/>
          <w:iCs/>
          <w:sz w:val="28"/>
          <w:szCs w:val="28"/>
          <w:highlight w:val="white"/>
        </w:rPr>
      </w:pPr>
      <w:r>
        <w:rPr>
          <w:i/>
          <w:iCs/>
          <w:sz w:val="28"/>
          <w:szCs w:val="28"/>
          <w:highlight w:val="white"/>
        </w:rPr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/>
        <w:drawing>
          <wp:inline distT="0" distB="0" distL="0" distR="0">
            <wp:extent cx="5400040" cy="3303905"/>
            <wp:effectExtent l="0" t="0" r="0" b="0"/>
            <wp:docPr id="4" name="Imagem 3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3" wp14:anchorId="7128FC88">
                <wp:simplePos x="0" y="0"/>
                <wp:positionH relativeFrom="column">
                  <wp:posOffset>1982470</wp:posOffset>
                </wp:positionH>
                <wp:positionV relativeFrom="paragraph">
                  <wp:posOffset>909955</wp:posOffset>
                </wp:positionV>
                <wp:extent cx="690880" cy="233680"/>
                <wp:effectExtent l="0" t="19050" r="34290" b="34290"/>
                <wp:wrapNone/>
                <wp:docPr id="3" name="Seta: para a Direita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2329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3" coordsize="21600,21600" o:spt="13" adj="10800,10800" path="m0@5l@3@5l@3,l21600,10800l@3,21600l@3@6l0@6xe">
                <v:stroke joinstyle="miter"/>
                <v:formulas>
                  <v:f eqn="val 21600"/>
                  <v:f eqn="val #1"/>
                  <v:f eqn="val #0"/>
                  <v:f eqn="sum width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0,@5,@8,@6"/>
                <v:handles>
                  <v:h position="0,@5"/>
                  <v:h position="@3,0"/>
                </v:handles>
              </v:shapetype>
              <v:shape id="shape_0" ID="Seta: para a Direita 4" fillcolor="#4472c4" stroked="t" style="position:absolute;margin-left:156.1pt;margin-top:71.65pt;width:54.3pt;height:18.3pt" wp14:anchorId="7128FC88" type="shapetype_13">
                <w10:wrap type="none"/>
                <v:fill o:detectmouseclick="t" type="solid" color2="#bb8d3b"/>
                <v:stroke color="#325490" weight="12600" joinstyle="miter" endcap="flat"/>
              </v:shape>
            </w:pict>
          </mc:Fallback>
        </mc:AlternateContent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ListParagraph"/>
        <w:ind w:left="0" w:firstLine="709"/>
        <w:jc w:val="both"/>
        <w:rPr>
          <w:rStyle w:val="Markiyi25tnuu"/>
          <w:i/>
          <w:i/>
          <w:iCs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 xml:space="preserve">A seta em azul, permite acesso à área de pesquisa sobre Escrituras e Procurações, com o seguinte </w:t>
      </w:r>
      <w:r>
        <w:rPr>
          <w:rStyle w:val="Markiyi25tnuu"/>
          <w:i/>
          <w:iCs/>
          <w:sz w:val="28"/>
          <w:szCs w:val="28"/>
          <w:shd w:fill="FFFFFF" w:val="clear"/>
        </w:rPr>
        <w:t>layout:</w:t>
      </w:r>
    </w:p>
    <w:p>
      <w:pPr>
        <w:pStyle w:val="ListParagraph"/>
        <w:ind w:left="0" w:firstLine="709"/>
        <w:jc w:val="both"/>
        <w:rPr>
          <w:rStyle w:val="Markiyi25tnuu"/>
          <w:i/>
          <w:i/>
          <w:iCs/>
          <w:sz w:val="28"/>
          <w:szCs w:val="28"/>
          <w:highlight w:val="white"/>
        </w:rPr>
      </w:pPr>
      <w:r>
        <w:rPr>
          <w:i/>
          <w:iCs/>
          <w:sz w:val="28"/>
          <w:szCs w:val="28"/>
          <w:highlight w:val="white"/>
        </w:rPr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/>
        <w:drawing>
          <wp:inline distT="0" distB="0" distL="0" distR="0">
            <wp:extent cx="5400040" cy="2397760"/>
            <wp:effectExtent l="0" t="0" r="0" b="0"/>
            <wp:docPr id="7" name="Imagem 5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5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4" wp14:anchorId="19304BEB">
                <wp:simplePos x="0" y="0"/>
                <wp:positionH relativeFrom="column">
                  <wp:posOffset>-62230</wp:posOffset>
                </wp:positionH>
                <wp:positionV relativeFrom="paragraph">
                  <wp:posOffset>1054100</wp:posOffset>
                </wp:positionV>
                <wp:extent cx="673735" cy="224790"/>
                <wp:effectExtent l="0" t="19050" r="32385" b="42545"/>
                <wp:wrapNone/>
                <wp:docPr id="5" name="Seta: para a Direita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00" cy="22428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eta: para a Direita 6" fillcolor="black" stroked="t" style="position:absolute;margin-left:-4.9pt;margin-top:83pt;width:52.95pt;height:17.6pt" wp14:anchorId="19304BEB" type="shapetype_13">
                <w10:wrap type="none"/>
                <v:fill o:detectmouseclick="t" type="solid" color2="white"/>
                <v:stroke color="black" weight="12600" joinstyle="miter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 wp14:anchorId="305A2903">
                <wp:simplePos x="0" y="0"/>
                <wp:positionH relativeFrom="column">
                  <wp:posOffset>-122555</wp:posOffset>
                </wp:positionH>
                <wp:positionV relativeFrom="paragraph">
                  <wp:posOffset>829945</wp:posOffset>
                </wp:positionV>
                <wp:extent cx="777240" cy="130175"/>
                <wp:effectExtent l="0" t="19050" r="43180" b="42545"/>
                <wp:wrapNone/>
                <wp:docPr id="6" name="Seta: para a Direita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520" cy="1296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eta: para a Direita 7" fillcolor="white" stroked="t" style="position:absolute;margin-left:-9.65pt;margin-top:65.35pt;width:61.1pt;height:10.15pt" wp14:anchorId="305A2903" type="shapetype_13">
                <w10:wrap type="none"/>
                <v:fill o:detectmouseclick="t" type="solid" color2="black"/>
                <v:stroke color="#70ad47" weight="12600" joinstyle="miter" endcap="flat"/>
              </v:shape>
            </w:pict>
          </mc:Fallback>
        </mc:AlternateContent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A seta em preto indica o campo em que se pode digitar o CPF ou CNPJ do alvo da investigação. A seta branca, indica o campo em que se pode digitar o nome do alvo a ser investigado.</w:t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Após digitar o nome ou CPF do alvo, aparecerão todas as escrituras e procurações públicas do alvo. No exemplo abaixo, foi usado o CPF deste signatário, retornando os seguintes documentos:</w:t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ListParagraph"/>
        <w:ind w:left="0" w:hanging="0"/>
        <w:jc w:val="both"/>
        <w:rPr>
          <w:rStyle w:val="Markiyi25tnuu"/>
          <w:sz w:val="28"/>
          <w:szCs w:val="28"/>
          <w:highlight w:val="white"/>
        </w:rPr>
      </w:pPr>
      <w:r>
        <w:rPr/>
        <w:drawing>
          <wp:inline distT="0" distB="0" distL="0" distR="0">
            <wp:extent cx="5400040" cy="3053715"/>
            <wp:effectExtent l="0" t="0" r="0" b="0"/>
            <wp:docPr id="9" name="Imagem 8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6" wp14:anchorId="44CA8BB9">
                <wp:simplePos x="0" y="0"/>
                <wp:positionH relativeFrom="column">
                  <wp:posOffset>-657225</wp:posOffset>
                </wp:positionH>
                <wp:positionV relativeFrom="paragraph">
                  <wp:posOffset>2082800</wp:posOffset>
                </wp:positionV>
                <wp:extent cx="647700" cy="690880"/>
                <wp:effectExtent l="0" t="19050" r="39370" b="34290"/>
                <wp:wrapNone/>
                <wp:docPr id="8" name="Seta: para a Direita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20" cy="6901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eta: para a Direita 9" fillcolor="#4472c4" stroked="t" style="position:absolute;margin-left:-51.75pt;margin-top:164pt;width:50.9pt;height:54.3pt" wp14:anchorId="44CA8BB9" type="shapetype_13">
                <w10:wrap type="none"/>
                <v:fill o:detectmouseclick="t" type="solid" color2="#bb8d3b"/>
                <v:stroke color="#325490" weight="12600" joinstyle="miter" endcap="flat"/>
              </v:shape>
            </w:pict>
          </mc:Fallback>
        </mc:AlternateContent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Para mais informações sobre quaisquer dos atos, pode ser clicado no nome. Por exemplo, ao se clicar no segundo item da lista, aparecerá as informações sobre o ato, no seguinte quadro:</w:t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7" wp14:anchorId="38875EE3">
                <wp:simplePos x="0" y="0"/>
                <wp:positionH relativeFrom="margin">
                  <wp:posOffset>1042035</wp:posOffset>
                </wp:positionH>
                <wp:positionV relativeFrom="paragraph">
                  <wp:posOffset>1765935</wp:posOffset>
                </wp:positionV>
                <wp:extent cx="716915" cy="121285"/>
                <wp:effectExtent l="0" t="0" r="27305" b="12700"/>
                <wp:wrapNone/>
                <wp:docPr id="10" name="Retângulo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00" cy="120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ângulo 11" fillcolor="#4472c4" stroked="t" style="position:absolute;margin-left:82.05pt;margin-top:139.05pt;width:56.35pt;height:9.45pt;mso-position-horizontal-relative:margin" wp14:anchorId="38875EE3">
                <w10:wrap type="none"/>
                <v:fill o:detectmouseclick="t" type="solid" color2="#bb8d3b"/>
                <v:stroke color="#325490" weight="1260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" wp14:anchorId="34F0B89A">
                <wp:simplePos x="0" y="0"/>
                <wp:positionH relativeFrom="margin">
                  <wp:posOffset>1047115</wp:posOffset>
                </wp:positionH>
                <wp:positionV relativeFrom="paragraph">
                  <wp:posOffset>1995170</wp:posOffset>
                </wp:positionV>
                <wp:extent cx="716915" cy="121285"/>
                <wp:effectExtent l="0" t="0" r="27305" b="12700"/>
                <wp:wrapNone/>
                <wp:docPr id="11" name="Retângulo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00" cy="120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ângulo 12" fillcolor="#4472c4" stroked="t" style="position:absolute;margin-left:82.45pt;margin-top:157.1pt;width:56.35pt;height:9.45pt;mso-position-horizontal-relative:margin" wp14:anchorId="34F0B89A">
                <w10:wrap type="none"/>
                <v:fill o:detectmouseclick="t" type="solid" color2="#bb8d3b"/>
                <v:stroke color="#325490" weight="1260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" wp14:anchorId="1ADF83C6">
                <wp:simplePos x="0" y="0"/>
                <wp:positionH relativeFrom="column">
                  <wp:posOffset>2456815</wp:posOffset>
                </wp:positionH>
                <wp:positionV relativeFrom="paragraph">
                  <wp:posOffset>920750</wp:posOffset>
                </wp:positionV>
                <wp:extent cx="130175" cy="501015"/>
                <wp:effectExtent l="19050" t="0" r="42545" b="33655"/>
                <wp:wrapNone/>
                <wp:docPr id="12" name="Seta: para Baixo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" cy="5004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67" coordsize="21600,21600" o:spt="67" adj="10800,10800" path="m0@3l@5@3l@5,l@6,l@6@3l21600@3l10800,21600xe">
                <v:stroke joinstyle="miter"/>
                <v:formulas>
                  <v:f eqn="val 21600"/>
                  <v:f eqn="val #1"/>
                  <v:f eqn="val #0"/>
                  <v:f eqn="sum height 0 @2"/>
                  <v:f eqn="prod 1 @1 2"/>
                  <v:f eqn="sum 10800 0 @4"/>
                  <v:f eqn="sum 10800 @4 0"/>
                  <v:f eqn="prod @5 @2 10800"/>
                  <v:f eqn="sum @3 @7 0"/>
                </v:formulas>
                <v:path gradientshapeok="t" o:connecttype="rect" textboxrect="@5,0,@6,@8"/>
                <v:handles>
                  <v:h position="@5,0"/>
                  <v:h position="0,@3"/>
                </v:handles>
              </v:shapetype>
              <v:shape id="shape_0" ID="Seta: para Baixo 13" fillcolor="#4472c4" stroked="t" style="position:absolute;margin-left:193.45pt;margin-top:72.5pt;width:10.15pt;height:39.35pt" wp14:anchorId="1ADF83C6" type="shapetype_67">
                <w10:wrap type="none"/>
                <v:fill o:detectmouseclick="t" type="solid" color2="#bb8d3b"/>
                <v:stroke color="#325490" weight="12600" joinstyle="miter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0" wp14:anchorId="596C7FA0">
                <wp:simplePos x="0" y="0"/>
                <wp:positionH relativeFrom="column">
                  <wp:posOffset>360045</wp:posOffset>
                </wp:positionH>
                <wp:positionV relativeFrom="paragraph">
                  <wp:posOffset>161290</wp:posOffset>
                </wp:positionV>
                <wp:extent cx="190500" cy="923925"/>
                <wp:effectExtent l="19050" t="19050" r="1270" b="10795"/>
                <wp:wrapNone/>
                <wp:docPr id="13" name="Colchete Esquerdo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20" cy="923400"/>
                        </a:xfrm>
                        <a:prstGeom prst="leftBracket">
                          <a:avLst>
                            <a:gd name="adj" fmla="val 8333"/>
                          </a:avLst>
                        </a:prstGeom>
                        <a:noFill/>
                        <a:ln w="3816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85" coordsize="21600,21600" o:spt="85" adj="1800" path="m21600,21600qx@9@10l0@1qy@11@12xnsem21600,21600qx@9@10l0@1qy@11@12nfe">
                <v:stroke joinstyle="miter"/>
                <v:formulas>
                  <v:f eqn="val 10800"/>
                  <v:f eqn="val #0"/>
                  <v:f eqn="sum height 0 @1"/>
                  <v:f eqn="sumangle 0 45 0"/>
                  <v:f eqn="cos width @3"/>
                  <v:f eqn="sin @1 @3"/>
                  <v:f eqn="sum width 0 @4"/>
                  <v:f eqn="sum @1 0 @5"/>
                  <v:f eqn="sum height @5 @1"/>
                  <v:f eqn="sum 0 21600 21600"/>
                  <v:f eqn="sum 0 21600 @1"/>
                  <v:f eqn="sum 21600 0 0"/>
                  <v:f eqn="sum 0 @1 @1"/>
                </v:formulas>
                <v:path gradientshapeok="t" o:connecttype="rect" textboxrect="@6,@7,21600,@8"/>
                <v:handles>
                  <v:h position="0,@1"/>
                </v:handles>
              </v:shapetype>
              <v:shape id="shape_0" ID="Colchete Esquerdo 14" stroked="t" style="position:absolute;margin-left:28.35pt;margin-top:12.7pt;width:14.9pt;height:72.65pt" wp14:anchorId="596C7FA0" type="shapetype_85">
                <w10:wrap type="none"/>
                <v:fill o:detectmouseclick="t" on="false"/>
                <v:stroke color="#ed7d31" weight="38160" joinstyle="miter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" wp14:anchorId="7B1EC121">
                <wp:simplePos x="0" y="0"/>
                <wp:positionH relativeFrom="column">
                  <wp:posOffset>-312420</wp:posOffset>
                </wp:positionH>
                <wp:positionV relativeFrom="paragraph">
                  <wp:posOffset>3275330</wp:posOffset>
                </wp:positionV>
                <wp:extent cx="690880" cy="113030"/>
                <wp:effectExtent l="0" t="19050" r="34290" b="40640"/>
                <wp:wrapNone/>
                <wp:docPr id="14" name="Seta: para a Direita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20" cy="1123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Seta: para a Direita 15" fillcolor="black" stroked="t" style="position:absolute;margin-left:-24.6pt;margin-top:257.9pt;width:54.3pt;height:8.8pt" wp14:anchorId="7B1EC121" type="shapetype_13">
                <w10:wrap type="none"/>
                <v:fill o:detectmouseclick="t" type="solid" color2="white"/>
                <v:stroke color="black" weight="12600" joinstyle="miter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" wp14:anchorId="16C1D7ED">
                <wp:simplePos x="0" y="0"/>
                <wp:positionH relativeFrom="column">
                  <wp:posOffset>662305</wp:posOffset>
                </wp:positionH>
                <wp:positionV relativeFrom="paragraph">
                  <wp:posOffset>2464435</wp:posOffset>
                </wp:positionV>
                <wp:extent cx="164465" cy="302895"/>
                <wp:effectExtent l="19050" t="19050" r="45720" b="22225"/>
                <wp:wrapNone/>
                <wp:docPr id="15" name="Seta: para Cima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00" cy="30240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68" coordsize="21600,21600" o:spt="68" adj="10800,10800" path="m0@3l10800,l21600@3l@6@3l@6,21600l@5,21600l@5@3xe">
                <v:stroke joinstyle="miter"/>
                <v:formulas>
                  <v:f eqn="val 21600"/>
                  <v:f eqn="val #1"/>
                  <v:f eqn="val #0"/>
                  <v:f eqn="sum 0 @2 0"/>
                  <v:f eqn="prod 1 @1 2"/>
                  <v:f eqn="sum 10800 0 @4"/>
                  <v:f eqn="sum 10800 @4 0"/>
                  <v:f eqn="prod @5 @2 10800"/>
                  <v:f eqn="sum @3 0 @7"/>
                </v:formulas>
                <v:path gradientshapeok="t" o:connecttype="rect" textboxrect="@5,@8,@6,21600"/>
                <v:handles>
                  <v:h position="@5,21600"/>
                  <v:h position="0,@3"/>
                </v:handles>
              </v:shapetype>
              <v:shape id="shape_0" ID="Seta: para Cima 17" fillcolor="white" stroked="t" style="position:absolute;margin-left:52.15pt;margin-top:194.05pt;width:12.85pt;height:23.75pt" wp14:anchorId="16C1D7ED" type="shapetype_68">
                <w10:wrap type="none"/>
                <v:fill o:detectmouseclick="t" type="solid" color2="black"/>
                <v:stroke color="#70ad47" weight="12600" joinstyle="miter" endcap="flat"/>
              </v:shape>
            </w:pict>
          </mc:Fallback>
        </mc:AlternateContent>
      </w:r>
      <w:r>
        <w:rPr/>
        <w:drawing>
          <wp:inline distT="0" distB="0" distL="0" distR="0">
            <wp:extent cx="5400040" cy="4497705"/>
            <wp:effectExtent l="0" t="0" r="0" b="0"/>
            <wp:docPr id="16" name="Imagem 10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0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Markiyi25tnuu"/>
          <w:sz w:val="28"/>
          <w:szCs w:val="28"/>
          <w:shd w:fill="FFFFFF" w:val="clear"/>
        </w:rPr>
        <w:t xml:space="preserve"> </w:t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 xml:space="preserve">O retorno permite saber se o alvo é outorgante ou outorgado (seta azul) e informações sobre o ato (data, tipo, livro, folha  - vide colchete laranja), além do cartório em que o ato fora lavrado. A sete branca, aponta para o símbolo   </w:t>
      </w:r>
      <w:r>
        <w:rPr/>
        <w:drawing>
          <wp:inline distT="0" distB="0" distL="0" distR="0">
            <wp:extent cx="295275" cy="207010"/>
            <wp:effectExtent l="0" t="0" r="0" b="0"/>
            <wp:docPr id="17" name="Imagem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Markiyi25tnuu"/>
          <w:sz w:val="28"/>
          <w:szCs w:val="28"/>
          <w:shd w:fill="FFFFFF" w:val="clear"/>
        </w:rPr>
        <w:t>. Ao se clicar no ícone, abre-se detalhe sobre a parte envolvida no ato, cfr. imagem a seguir:</w:t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/>
        <w:drawing>
          <wp:inline distT="0" distB="0" distL="0" distR="0">
            <wp:extent cx="4533900" cy="2305050"/>
            <wp:effectExtent l="0" t="0" r="0" b="0"/>
            <wp:docPr id="20" name="Imagem 20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3" wp14:anchorId="23E097BC">
                <wp:simplePos x="0" y="0"/>
                <wp:positionH relativeFrom="column">
                  <wp:posOffset>3397250</wp:posOffset>
                </wp:positionH>
                <wp:positionV relativeFrom="paragraph">
                  <wp:posOffset>1181735</wp:posOffset>
                </wp:positionV>
                <wp:extent cx="785495" cy="267970"/>
                <wp:effectExtent l="0" t="0" r="15240" b="18415"/>
                <wp:wrapNone/>
                <wp:docPr id="18" name="Retângulo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00" cy="267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ângulo 21" fillcolor="#4472c4" stroked="t" style="position:absolute;margin-left:267.5pt;margin-top:93.05pt;width:61.75pt;height:21pt" wp14:anchorId="23E097BC">
                <w10:wrap type="none"/>
                <v:fill o:detectmouseclick="t" type="solid" color2="#bb8d3b"/>
                <v:stroke color="#325490" weight="1260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 wp14:anchorId="649CDF90">
                <wp:simplePos x="0" y="0"/>
                <wp:positionH relativeFrom="column">
                  <wp:posOffset>607060</wp:posOffset>
                </wp:positionH>
                <wp:positionV relativeFrom="paragraph">
                  <wp:posOffset>1868170</wp:posOffset>
                </wp:positionV>
                <wp:extent cx="785495" cy="267970"/>
                <wp:effectExtent l="0" t="0" r="15240" b="18415"/>
                <wp:wrapNone/>
                <wp:docPr id="19" name="Retângulo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00" cy="267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tângulo 22" fillcolor="#4472c4" stroked="t" style="position:absolute;margin-left:47.8pt;margin-top:147.1pt;width:61.75pt;height:21pt" wp14:anchorId="649CDF90">
                <w10:wrap type="none"/>
                <v:fill o:detectmouseclick="t" type="solid" color2="#bb8d3b"/>
                <v:stroke color="#325490" weight="12600" joinstyle="miter" endcap="flat"/>
              </v:rect>
            </w:pict>
          </mc:Fallback>
        </mc:AlternateContent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ListParagraph"/>
        <w:numPr>
          <w:ilvl w:val="0"/>
          <w:numId w:val="2"/>
        </w:numPr>
        <w:jc w:val="both"/>
        <w:rPr>
          <w:rStyle w:val="Markiyi25tnuu"/>
          <w:b/>
          <w:b/>
          <w:bCs/>
          <w:sz w:val="28"/>
          <w:szCs w:val="28"/>
          <w:highlight w:val="white"/>
          <w:u w:val="single"/>
        </w:rPr>
      </w:pPr>
      <w:r>
        <w:rPr>
          <w:rStyle w:val="Markiyi25tnuu"/>
          <w:b/>
          <w:bCs/>
          <w:sz w:val="28"/>
          <w:szCs w:val="28"/>
          <w:u w:val="single"/>
          <w:shd w:fill="FFFFFF" w:val="clear"/>
        </w:rPr>
        <w:t>Como se Habilitar?</w:t>
      </w:r>
    </w:p>
    <w:p>
      <w:pPr>
        <w:pStyle w:val="Normal"/>
        <w:ind w:firstLine="567"/>
        <w:jc w:val="both"/>
        <w:rPr>
          <w:rStyle w:val="Markiyi25tnuu"/>
          <w:b/>
          <w:b/>
          <w:bCs/>
          <w:sz w:val="28"/>
          <w:szCs w:val="28"/>
          <w:highlight w:val="white"/>
          <w:u w:val="single"/>
        </w:rPr>
      </w:pPr>
      <w:r>
        <w:rPr>
          <w:b/>
          <w:bCs/>
          <w:sz w:val="28"/>
          <w:szCs w:val="28"/>
          <w:highlight w:val="white"/>
          <w:u w:val="single"/>
        </w:rPr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O Provimento nº18, de 2012, com posteriores alterações, da Corregedoria Nacional da Justiça, em seu art. 19, autoriza acesso aos membros do Ministério Público às informações do CESDI e CEP:</w:t>
      </w:r>
    </w:p>
    <w:p>
      <w:pPr>
        <w:pStyle w:val="Normal"/>
        <w:ind w:left="567" w:hanging="0"/>
        <w:jc w:val="both"/>
        <w:rPr/>
      </w:pPr>
      <w:r>
        <w:rPr/>
        <w:t xml:space="preserve">Art. 19. Poderão se habilitar para o acesso às informações referentes à CESDI e CEP todos os órgãos do Poder Judiciário e do Ministério Público, bem como os órgãos públicos da União, Estados, Distrito Federal e Municípios que delas necessitem para a prestação do serviço público de que incumbidos. </w:t>
      </w:r>
    </w:p>
    <w:p>
      <w:pPr>
        <w:pStyle w:val="Normal"/>
        <w:ind w:firstLine="567"/>
        <w:jc w:val="both"/>
        <w:rPr/>
      </w:pPr>
      <w:r>
        <w:rPr/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Para tanto, é necessário o encaminhamento dos seguintes dados (§ 2º):</w:t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Normal"/>
        <w:ind w:left="567" w:hanging="0"/>
        <w:jc w:val="both"/>
        <w:rPr>
          <w:rStyle w:val="Markiyi25tnuu"/>
          <w:i/>
          <w:i/>
          <w:iCs/>
          <w:sz w:val="28"/>
          <w:szCs w:val="28"/>
          <w:highlight w:val="white"/>
        </w:rPr>
      </w:pPr>
      <w:r>
        <w:rPr>
          <w:i/>
          <w:iCs/>
          <w:sz w:val="28"/>
          <w:szCs w:val="28"/>
        </w:rPr>
        <w:t>§ 2º A habilitação dos órgãos públicos de que trata o caput deste artigo será solicitada diretamente ao Colégio Notarial do Brasil -Conselho Federal, em campo a ser disponibilizado no sítio www.censec.org.br , no qual será informado o nome, cargo, matrícula e número do CPF das pessoas autorizadas para acesso ao sistema. (Alterado pelo Provimento nº 40, de 11 de setembro de 2014)</w:t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A habilitação ainda não está disponível no site mencionado. No entanto, pode ser enviado e-mail solicitando a habilitação ao seguinte endereço:</w:t>
      </w:r>
    </w:p>
    <w:p>
      <w:pPr>
        <w:pStyle w:val="ListParagraph"/>
        <w:ind w:left="0" w:firstLine="709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rStyle w:val="LinkdaInternet"/>
          <w:rFonts w:ascii="Calibri" w:hAnsi="Calibri"/>
          <w:b w:val="false"/>
          <w:i w:val="false"/>
          <w:caps w:val="false"/>
          <w:smallCaps w:val="false"/>
          <w:color w:val="4472C4"/>
          <w:spacing w:val="0"/>
          <w:sz w:val="28"/>
          <w:szCs w:val="28"/>
          <w:highlight w:val="white"/>
        </w:rPr>
        <w:t>servicos@notariado.org.br</w:t>
      </w:r>
      <w:r>
        <w:rPr>
          <w:rStyle w:val="LinkdaInternet"/>
          <w:rFonts w:ascii="Calibri" w:hAnsi="Calibri"/>
          <w:color w:val="4472C4"/>
          <w:sz w:val="28"/>
          <w:szCs w:val="28"/>
          <w:highlight w:val="white"/>
        </w:rPr>
        <w:t xml:space="preserve"> </w:t>
      </w:r>
    </w:p>
    <w:p>
      <w:pPr>
        <w:pStyle w:val="Normal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 xml:space="preserve">Com os dados e documentos: </w:t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b/>
          <w:bCs/>
          <w:sz w:val="28"/>
          <w:szCs w:val="28"/>
          <w:shd w:fill="FFFFFF" w:val="clear"/>
        </w:rPr>
        <w:t>Documentos</w:t>
      </w:r>
      <w:r>
        <w:rPr>
          <w:rStyle w:val="Markiyi25tnuu"/>
          <w:sz w:val="28"/>
          <w:szCs w:val="28"/>
          <w:shd w:fill="FFFFFF" w:val="clear"/>
        </w:rPr>
        <w:t>: Ofício solicitando habilitação, portaria de nomeação e identidade funcional (ou RG);</w:t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Informações: NOME, CARGO, CPF, MATRÍCULA, E-mail</w:t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Em anexo, modelo de ofício, em arquivo editável.</w:t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ListParagraph"/>
        <w:numPr>
          <w:ilvl w:val="0"/>
          <w:numId w:val="2"/>
        </w:numPr>
        <w:jc w:val="both"/>
        <w:rPr>
          <w:rStyle w:val="Markiyi25tnuu"/>
          <w:b/>
          <w:b/>
          <w:bCs/>
          <w:sz w:val="28"/>
          <w:szCs w:val="28"/>
          <w:highlight w:val="white"/>
          <w:u w:val="single"/>
        </w:rPr>
      </w:pPr>
      <w:r>
        <w:rPr>
          <w:rStyle w:val="Markiyi25tnuu"/>
          <w:b/>
          <w:bCs/>
          <w:sz w:val="28"/>
          <w:szCs w:val="28"/>
          <w:u w:val="single"/>
          <w:shd w:fill="FFFFFF" w:val="clear"/>
        </w:rPr>
        <w:t>Outros Contatos CENSEC:</w:t>
      </w:r>
    </w:p>
    <w:p>
      <w:pPr>
        <w:pStyle w:val="Normal"/>
        <w:ind w:firstLine="567"/>
        <w:jc w:val="both"/>
        <w:rPr>
          <w:rStyle w:val="Markiyi25tnuu"/>
          <w:b/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</w:rPr>
      </w:r>
    </w:p>
    <w:p>
      <w:pPr>
        <w:pStyle w:val="Normal"/>
        <w:ind w:firstLine="567"/>
        <w:jc w:val="both"/>
        <w:rPr>
          <w:rStyle w:val="Markiyi25tnuu"/>
          <w:b/>
          <w:b/>
          <w:bCs/>
          <w:sz w:val="28"/>
          <w:szCs w:val="28"/>
          <w:highlight w:val="white"/>
        </w:rPr>
      </w:pPr>
      <w:r>
        <w:rPr>
          <w:rStyle w:val="Markiyi25tnuu"/>
          <w:b/>
          <w:bCs/>
          <w:sz w:val="28"/>
          <w:szCs w:val="28"/>
          <w:shd w:fill="FFFFFF" w:val="clear"/>
        </w:rPr>
        <w:t>SAC: 11 3122-6287 e 11 3122-6277;</w:t>
      </w:r>
    </w:p>
    <w:p>
      <w:pPr>
        <w:pStyle w:val="Normal"/>
        <w:ind w:firstLine="567"/>
        <w:jc w:val="both"/>
        <w:rPr>
          <w:rStyle w:val="Markiyi25tnuu"/>
          <w:b/>
          <w:b/>
          <w:bCs/>
          <w:i/>
          <w:i/>
          <w:iCs/>
          <w:sz w:val="28"/>
          <w:szCs w:val="28"/>
          <w:highlight w:val="white"/>
        </w:rPr>
      </w:pPr>
      <w:r>
        <w:rPr>
          <w:rStyle w:val="Markiyi25tnuu"/>
          <w:b/>
          <w:bCs/>
          <w:i/>
          <w:iCs/>
          <w:sz w:val="28"/>
          <w:szCs w:val="28"/>
          <w:shd w:fill="FFFFFF" w:val="clear"/>
        </w:rPr>
        <w:t>WhatsApp: 11 9.8985-2022</w:t>
      </w:r>
    </w:p>
    <w:p>
      <w:pPr>
        <w:pStyle w:val="Normal"/>
        <w:ind w:firstLine="567"/>
        <w:jc w:val="both"/>
        <w:rPr>
          <w:rStyle w:val="Markiyi25tnuu"/>
          <w:b/>
          <w:b/>
          <w:bCs/>
          <w:i/>
          <w:i/>
          <w:iCs/>
          <w:sz w:val="28"/>
          <w:szCs w:val="28"/>
          <w:highlight w:val="white"/>
        </w:rPr>
      </w:pPr>
      <w:r>
        <w:rPr>
          <w:rStyle w:val="Markiyi25tnuu"/>
          <w:b/>
          <w:bCs/>
          <w:i/>
          <w:iCs/>
          <w:sz w:val="28"/>
          <w:szCs w:val="28"/>
          <w:shd w:fill="FFFFFF" w:val="clear"/>
        </w:rPr>
        <w:t>End. Rua Bela Cintra, 746, 12º andar, Cj. 121,</w:t>
      </w:r>
    </w:p>
    <w:p>
      <w:pPr>
        <w:pStyle w:val="Normal"/>
        <w:ind w:firstLine="567"/>
        <w:jc w:val="both"/>
        <w:rPr>
          <w:rStyle w:val="Markiyi25tnuu"/>
          <w:b/>
          <w:b/>
          <w:bCs/>
          <w:i/>
          <w:i/>
          <w:iCs/>
          <w:sz w:val="28"/>
          <w:szCs w:val="28"/>
          <w:highlight w:val="white"/>
        </w:rPr>
      </w:pPr>
      <w:r>
        <w:rPr>
          <w:rStyle w:val="Markiyi25tnuu"/>
          <w:b/>
          <w:bCs/>
          <w:i/>
          <w:iCs/>
          <w:sz w:val="28"/>
          <w:szCs w:val="28"/>
          <w:shd w:fill="FFFFFF" w:val="clear"/>
        </w:rPr>
        <w:t>CEP: 01-415-000 – São Paulo – SP</w:t>
      </w:r>
    </w:p>
    <w:p>
      <w:pPr>
        <w:pStyle w:val="Normal"/>
        <w:ind w:firstLine="567"/>
        <w:jc w:val="both"/>
        <w:rPr>
          <w:rStyle w:val="Markiyi25tnuu"/>
          <w:b/>
          <w:b/>
          <w:bCs/>
          <w:i/>
          <w:i/>
          <w:iCs/>
          <w:sz w:val="28"/>
          <w:szCs w:val="28"/>
          <w:highlight w:val="white"/>
        </w:rPr>
      </w:pPr>
      <w:r>
        <w:rPr>
          <w:b/>
          <w:bCs/>
          <w:i/>
          <w:iCs/>
          <w:sz w:val="28"/>
          <w:szCs w:val="28"/>
          <w:highlight w:val="white"/>
        </w:rPr>
      </w:r>
    </w:p>
    <w:p>
      <w:pPr>
        <w:pStyle w:val="Normal"/>
        <w:ind w:firstLine="567"/>
        <w:jc w:val="both"/>
        <w:rPr>
          <w:rStyle w:val="Markiyi25tnuu"/>
          <w:b/>
          <w:b/>
          <w:bCs/>
          <w:sz w:val="28"/>
          <w:szCs w:val="28"/>
          <w:highlight w:val="white"/>
          <w:u w:val="single"/>
        </w:rPr>
      </w:pPr>
      <w:r>
        <w:rPr>
          <w:rStyle w:val="Markiyi25tnuu"/>
          <w:b/>
          <w:bCs/>
          <w:sz w:val="28"/>
          <w:szCs w:val="28"/>
          <w:u w:val="single"/>
          <w:shd w:fill="FFFFFF" w:val="clear"/>
        </w:rPr>
        <w:t>Pesquisa CACOP</w:t>
      </w:r>
    </w:p>
    <w:p>
      <w:pPr>
        <w:pStyle w:val="Normal"/>
        <w:ind w:firstLine="567"/>
        <w:jc w:val="both"/>
        <w:rPr>
          <w:rStyle w:val="Markiyi25tnuu"/>
          <w:b/>
          <w:b/>
          <w:bCs/>
          <w:sz w:val="28"/>
          <w:szCs w:val="28"/>
          <w:highlight w:val="white"/>
          <w:u w:val="single"/>
        </w:rPr>
      </w:pPr>
      <w:r>
        <w:rPr>
          <w:b/>
          <w:bCs/>
          <w:sz w:val="28"/>
          <w:szCs w:val="28"/>
          <w:highlight w:val="white"/>
          <w:u w:val="single"/>
        </w:rPr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O ideal é que cada colega possa se habilitar para fazer a consulta por si só. No entanto, caso haja problemas técnicos ou enquanto não providenciada a habilitação, a consulta pode ser feita pelo CACOP, mediante solicitação de apoio, com exposição do caso investigado.</w:t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O CACOP está à disposição dos membros do Ministério Público para qualquer esclarecimento quanto ao uso da ferramenta.</w:t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 xml:space="preserve">Esperamos que a disponibilização deste instrumento possa contribuir com o trabalho investigativo das Promotoras e Promotores de Justiça. </w:t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 xml:space="preserve">Atenciosamente, </w:t>
      </w:r>
    </w:p>
    <w:p>
      <w:pPr>
        <w:pStyle w:val="Normal"/>
        <w:ind w:firstLine="567"/>
        <w:jc w:val="both"/>
        <w:rPr>
          <w:rStyle w:val="Markiyi25tnuu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Normal"/>
        <w:ind w:firstLine="567"/>
        <w:jc w:val="center"/>
        <w:rPr>
          <w:rStyle w:val="Markiyi25tnuu"/>
          <w:b/>
          <w:b/>
          <w:bCs/>
          <w:i/>
          <w:i/>
          <w:iCs/>
          <w:sz w:val="28"/>
          <w:szCs w:val="28"/>
          <w:highlight w:val="white"/>
        </w:rPr>
      </w:pPr>
      <w:r>
        <w:rPr>
          <w:rStyle w:val="Markiyi25tnuu"/>
          <w:b/>
          <w:bCs/>
          <w:i/>
          <w:iCs/>
          <w:sz w:val="28"/>
          <w:szCs w:val="28"/>
          <w:shd w:fill="FFFFFF" w:val="clear"/>
        </w:rPr>
        <w:t>Plínio Fabrício de Carvalho Fontes</w:t>
      </w:r>
    </w:p>
    <w:p>
      <w:pPr>
        <w:pStyle w:val="Normal"/>
        <w:ind w:firstLine="567"/>
        <w:jc w:val="center"/>
        <w:rPr>
          <w:rStyle w:val="Markiyi25tnuu"/>
          <w:sz w:val="28"/>
          <w:szCs w:val="28"/>
          <w:highlight w:val="white"/>
        </w:rPr>
      </w:pPr>
      <w:r>
        <w:rPr>
          <w:rStyle w:val="Markiyi25tnuu"/>
          <w:sz w:val="28"/>
          <w:szCs w:val="28"/>
          <w:shd w:fill="FFFFFF" w:val="clear"/>
        </w:rPr>
        <w:t>Promotor de Justiça – Coordenador do CACOP</w:t>
      </w:r>
    </w:p>
    <w:p>
      <w:pPr>
        <w:pStyle w:val="Normal"/>
        <w:ind w:firstLine="567"/>
        <w:jc w:val="both"/>
        <w:rPr>
          <w:rStyle w:val="Markiyi25tnuu"/>
          <w:b/>
          <w:b/>
          <w:bCs/>
          <w:sz w:val="28"/>
          <w:szCs w:val="28"/>
          <w:highlight w:val="white"/>
          <w:u w:val="single"/>
        </w:rPr>
      </w:pPr>
      <w:r>
        <w:rPr>
          <w:b/>
          <w:bCs/>
          <w:sz w:val="28"/>
          <w:szCs w:val="28"/>
          <w:highlight w:val="white"/>
          <w:u w:val="single"/>
        </w:rPr>
      </w:r>
    </w:p>
    <w:p>
      <w:pPr>
        <w:pStyle w:val="Normal"/>
        <w:spacing w:before="0" w:after="160"/>
        <w:ind w:firstLine="567"/>
        <w:jc w:val="both"/>
        <w:rPr/>
      </w:pPr>
      <w:r>
        <w:rPr/>
      </w:r>
    </w:p>
    <w:sectPr>
      <w:headerReference w:type="default" r:id="rId10"/>
      <w:footerReference w:type="default" r:id="rId11"/>
      <w:footnotePr>
        <w:numFmt w:val="decimal"/>
      </w:footnotePr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1"/>
    <w:family w:val="swiss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pBdr>
        <w:top w:val="double" w:sz="2" w:space="0" w:color="622423"/>
        <w:left w:val="double" w:sz="2" w:space="0" w:color="622423"/>
        <w:bottom w:val="double" w:sz="2" w:space="0" w:color="622423"/>
        <w:right w:val="double" w:sz="2" w:space="0" w:color="622423"/>
      </w:pBdr>
      <w:jc w:val="center"/>
      <w:rPr/>
    </w:pPr>
    <w:r>
      <w:rPr>
        <w:rFonts w:cs="Times New Roman" w:ascii="Times New Roman" w:hAnsi="Times New Roman"/>
      </w:rPr>
      <w:t>Avenida Lindolfo Monteiro, n.º 911, Bairro de Fátima – Teresina-PI</w:t>
    </w:r>
  </w:p>
  <w:p>
    <w:pPr>
      <w:pStyle w:val="Rodap"/>
      <w:pBdr>
        <w:top w:val="double" w:sz="2" w:space="0" w:color="622423"/>
        <w:left w:val="double" w:sz="2" w:space="0" w:color="622423"/>
        <w:bottom w:val="double" w:sz="2" w:space="0" w:color="622423"/>
        <w:right w:val="double" w:sz="2" w:space="0" w:color="622423"/>
      </w:pBdr>
      <w:jc w:val="center"/>
      <w:rPr/>
    </w:pPr>
    <w:r>
      <w:rPr>
        <w:rFonts w:cs="Times New Roman" w:ascii="Times New Roman" w:hAnsi="Times New Roman"/>
      </w:rPr>
      <w:t xml:space="preserve">E-mail: </w:t>
    </w:r>
    <w:hyperlink r:id="rId1">
      <w:r>
        <w:rPr>
          <w:rStyle w:val="LinkdaInternet"/>
          <w:rFonts w:cs="Times New Roman" w:ascii="Times New Roman" w:hAnsi="Times New Roman"/>
        </w:rPr>
        <w:t>cacop@mppi.mp.br</w:t>
      </w:r>
    </w:hyperlink>
  </w:p>
  <w:p>
    <w:pPr>
      <w:pStyle w:val="Rodap"/>
      <w:rPr/>
    </w:pPr>
    <w:r>
      <w:rP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Notaderodap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/>
        <w:t xml:space="preserve">Produzido em 16/08/2021 – disponibilizado na mesma data, por e-mail e </w:t>
      </w:r>
      <w:r>
        <w:rPr>
          <w:i/>
          <w:iCs/>
        </w:rPr>
        <w:t>WhatsApp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/>
    </w:pPr>
    <w:r>
      <w:rPr/>
    </w:r>
  </w:p>
  <w:p>
    <w:pPr>
      <w:pStyle w:val="Cabealho"/>
      <w:jc w:val="center"/>
      <w:rPr/>
    </w:pPr>
    <w:r>
      <w:rPr/>
      <w:drawing>
        <wp:inline distT="0" distB="0" distL="0" distR="0">
          <wp:extent cx="3079750" cy="1100455"/>
          <wp:effectExtent l="0" t="0" r="0" b="0"/>
          <wp:docPr id="21" name="Imagem 2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m 23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79750" cy="1100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"/>
      <w:lvlJc w:val="left"/>
      <w:pPr>
        <w:ind w:left="987" w:hanging="360"/>
      </w:pPr>
      <w:rPr>
        <w:rFonts w:ascii="Wingdings" w:hAnsi="Wingdings" w:cs="Wingdings" w:hint="default"/>
        <w:sz w:val="28"/>
        <w:rFonts w:cs=""/>
      </w:rPr>
    </w:lvl>
    <w:lvl w:ilvl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4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5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747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70"/>
  <w:defaultTabStop w:val="708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Ttulo3">
    <w:name w:val="Heading 3"/>
    <w:basedOn w:val="Normal"/>
    <w:link w:val="Ttulo3Char"/>
    <w:uiPriority w:val="9"/>
    <w:qFormat/>
    <w:rsid w:val="00ad5a0f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pt-B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Markiyi25tnuu" w:customStyle="1">
    <w:name w:val="markiyi25tnuu"/>
    <w:basedOn w:val="DefaultParagraphFont"/>
    <w:qFormat/>
    <w:rsid w:val="00ad5a0f"/>
    <w:rPr/>
  </w:style>
  <w:style w:type="character" w:styleId="Ttulo3Char" w:customStyle="1">
    <w:name w:val="Título 3 Char"/>
    <w:basedOn w:val="DefaultParagraphFont"/>
    <w:link w:val="Ttulo3"/>
    <w:uiPriority w:val="9"/>
    <w:qFormat/>
    <w:rsid w:val="00ad5a0f"/>
    <w:rPr>
      <w:rFonts w:ascii="Times New Roman" w:hAnsi="Times New Roman" w:eastAsia="Times New Roman" w:cs="Times New Roman"/>
      <w:b/>
      <w:bCs/>
      <w:sz w:val="27"/>
      <w:szCs w:val="27"/>
      <w:lang w:eastAsia="pt-BR"/>
    </w:rPr>
  </w:style>
  <w:style w:type="character" w:styleId="LinkdaInternet">
    <w:name w:val="Link da Internet"/>
    <w:basedOn w:val="DefaultParagraphFont"/>
    <w:uiPriority w:val="99"/>
    <w:unhideWhenUsed/>
    <w:rsid w:val="005675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56752d"/>
    <w:rPr>
      <w:color w:val="605E5C"/>
      <w:shd w:fill="E1DFDD" w:val="clear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7e28de"/>
    <w:rPr/>
  </w:style>
  <w:style w:type="character" w:styleId="RodapChar" w:customStyle="1">
    <w:name w:val="Rodapé Char"/>
    <w:basedOn w:val="DefaultParagraphFont"/>
    <w:link w:val="Rodap"/>
    <w:qFormat/>
    <w:rsid w:val="007e28de"/>
    <w:rPr/>
  </w:style>
  <w:style w:type="character" w:styleId="TextodenotaderodapChar" w:customStyle="1">
    <w:name w:val="Texto de nota de rodapé Char"/>
    <w:basedOn w:val="DefaultParagraphFont"/>
    <w:link w:val="Textodenotaderodap"/>
    <w:uiPriority w:val="99"/>
    <w:semiHidden/>
    <w:qFormat/>
    <w:rsid w:val="00f701fb"/>
    <w:rPr>
      <w:sz w:val="20"/>
      <w:szCs w:val="20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f701fb"/>
    <w:rPr>
      <w:vertAlign w:val="superscript"/>
    </w:rPr>
  </w:style>
  <w:style w:type="character" w:styleId="Caracteresdenotaderodap">
    <w:name w:val="Caracteres de nota de rodapé"/>
    <w:qFormat/>
    <w:rPr/>
  </w:style>
  <w:style w:type="character" w:styleId="Ncoradanotadefim">
    <w:name w:val="Âncora da nota de fim"/>
    <w:rPr>
      <w:vertAlign w:val="superscript"/>
    </w:rPr>
  </w:style>
  <w:style w:type="character" w:styleId="Caracteresdenotadefim">
    <w:name w:val="Caracteres de nota de fim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56752d"/>
    <w:pPr>
      <w:spacing w:before="0" w:after="160"/>
      <w:ind w:left="720" w:hanging="0"/>
      <w:contextualSpacing/>
    </w:pPr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7e28d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nhideWhenUsed/>
    <w:rsid w:val="007e28d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Notaderodap">
    <w:name w:val="Footnote Text"/>
    <w:basedOn w:val="Normal"/>
    <w:link w:val="TextodenotaderodapChar"/>
    <w:uiPriority w:val="99"/>
    <w:semiHidden/>
    <w:unhideWhenUsed/>
    <w:rsid w:val="00f701fb"/>
    <w:pPr>
      <w:spacing w:lineRule="auto" w:line="240" w:before="0" w:after="0"/>
    </w:pPr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numbering" Target="numbering.xml"/><Relationship Id="rId18" Type="http://schemas.openxmlformats.org/officeDocument/2006/relationships/customXml" Target="../customXml/item2.xml"/><Relationship Id="rId3" Type="http://schemas.openxmlformats.org/officeDocument/2006/relationships/image" Target="media/image1.png"/><Relationship Id="rId7" Type="http://schemas.openxmlformats.org/officeDocument/2006/relationships/image" Target="media/image5.png"/><Relationship Id="rId12" Type="http://schemas.openxmlformats.org/officeDocument/2006/relationships/footnotes" Target="footnotes.xml"/><Relationship Id="rId17" Type="http://schemas.openxmlformats.org/officeDocument/2006/relationships/customXml" Target="../customXml/item1.xml"/><Relationship Id="rId2" Type="http://schemas.openxmlformats.org/officeDocument/2006/relationships/hyperlink" Target="https://censec.org.br/" TargetMode="Externa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4.png"/><Relationship Id="rId11" Type="http://schemas.openxmlformats.org/officeDocument/2006/relationships/footer" Target="footer1.xml"/><Relationship Id="rId5" Type="http://schemas.openxmlformats.org/officeDocument/2006/relationships/image" Target="media/image3.png"/><Relationship Id="rId15" Type="http://schemas.openxmlformats.org/officeDocument/2006/relationships/settings" Target="settings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image" Target="media/image2.png"/><Relationship Id="rId9" Type="http://schemas.openxmlformats.org/officeDocument/2006/relationships/image" Target="media/image7.png"/><Relationship Id="rId14" Type="http://schemas.openxmlformats.org/officeDocument/2006/relationships/fontTable" Target="fontTable.xml"/>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acop@mppi.mp.b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8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C11DB09EB102E4D9E6A4D00CF89638B" ma:contentTypeVersion="18" ma:contentTypeDescription="Crie um novo documento." ma:contentTypeScope="" ma:versionID="cc7856560da542aa4926721baca66ca0">
  <xsd:schema xmlns:xsd="http://www.w3.org/2001/XMLSchema" xmlns:xs="http://www.w3.org/2001/XMLSchema" xmlns:p="http://schemas.microsoft.com/office/2006/metadata/properties" xmlns:ns1="http://schemas.microsoft.com/sharepoint/v3" xmlns:ns2="d2304566-0f25-4fbf-9792-2632ef991448" xmlns:ns3="7475cf52-b448-4723-a2af-ff69c502b29f" targetNamespace="http://schemas.microsoft.com/office/2006/metadata/properties" ma:root="true" ma:fieldsID="2ca829d70f9d1e6b367a351d1ec50f62" ns1:_="" ns2:_="" ns3:_="">
    <xsd:import namespace="http://schemas.microsoft.com/sharepoint/v3"/>
    <xsd:import namespace="d2304566-0f25-4fbf-9792-2632ef991448"/>
    <xsd:import namespace="7475cf52-b448-4723-a2af-ff69c502b2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ASSESSO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04566-0f25-4fbf-9792-2632ef9914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ASSESSOR" ma:index="21" nillable="true" ma:displayName="ASSESSOR" ma:format="Dropdown" ma:list="UserInfo" ma:SharePointGroup="0" ma:internalName="ASSESS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6eb132e5-4297-4b65-8413-9047d39a10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75cf52-b448-4723-a2af-ff69c502b29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ddec917-5758-4186-b799-3f6757f82915}" ma:internalName="TaxCatchAll" ma:showField="CatchAllData" ma:web="7475cf52-b448-4723-a2af-ff69c502b2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CA1871-1A8E-4B52-B8B8-A4D87FBDA4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4B5F55-FCEF-40A5-98FD-5409261A42C2}"/>
</file>

<file path=customXml/itemProps3.xml><?xml version="1.0" encoding="utf-8"?>
<ds:datastoreItem xmlns:ds="http://schemas.openxmlformats.org/officeDocument/2006/customXml" ds:itemID="{E0353D12-3734-4F80-92E6-9B31CBDD96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LibreOffice/6.3.5.2$Windows_X86_64 LibreOffice_project/dd0751754f11728f69b42ee2af66670068624673</Application>
  <Pages>9</Pages>
  <Words>933</Words>
  <Characters>4998</Characters>
  <CharactersWithSpaces>5897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2021-08-16T13:01:00Z</dcterms:created>
  <dc:creator>PLINIO FABRICIO DE CARVALHO FONTES</dc:creator>
  <dc:description/>
  <dc:language>pt-BR</dc:language>
  <cp:lastModifiedBy/>
  <dcterms:modified xsi:type="dcterms:W3CDTF">2023-04-14T13:43:20Z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