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27305</wp:posOffset>
            </wp:positionV>
            <wp:extent cx="5759450" cy="1130935"/>
            <wp:effectExtent l="0" t="0" r="0" b="0"/>
            <wp:wrapTopAndBottom/>
            <wp:docPr id="1" name="figuras1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 Copi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ntepargpadro"/>
          <w:rFonts w:cs="Arial" w:ascii="Arial" w:hAnsi="Arial"/>
          <w:b/>
          <w:sz w:val="24"/>
          <w:szCs w:val="24"/>
        </w:rPr>
        <w:t xml:space="preserve"> </w:t>
      </w:r>
      <w:r>
        <w:rPr>
          <w:rStyle w:val="Fontepargpadro"/>
          <w:rFonts w:cs="Arial narrow" w:ascii="Arial" w:hAnsi="Arial"/>
          <w:b w:val="false"/>
          <w:bCs w:val="false"/>
          <w:sz w:val="24"/>
          <w:szCs w:val="24"/>
          <w:shd w:fill="FFFFFF" w:val="clear"/>
        </w:rPr>
        <w:t>PROMOTORIA DE JUSTIÇA DE</w:t>
      </w:r>
      <w:r>
        <w:rPr>
          <w:rStyle w:val="Fontepargpadro"/>
          <w:rFonts w:cs="Arial narrow" w:ascii="Arial" w:hAnsi="Arial"/>
          <w:b w:val="false"/>
          <w:bCs w:val="false"/>
          <w:sz w:val="24"/>
          <w:szCs w:val="24"/>
          <w:u w:val="none"/>
          <w:shd w:fill="FFFFFF" w:val="clear"/>
        </w:rPr>
        <w:t xml:space="preserve"> </w:t>
      </w:r>
      <w:r>
        <w:rPr>
          <w:rStyle w:val="Fontepargpadro"/>
          <w:rFonts w:eastAsia="MS Mincho" w:cs="Arial" w:ascii="Arial" w:hAnsi="Arial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</w:rPr>
        <w:t>____________</w:t>
      </w:r>
      <w:r>
        <w:rPr/>
        <w:commentReference w:id="0"/>
      </w:r>
      <w:r>
        <w:rPr>
          <w:rStyle w:val="Fontepargpadro"/>
          <w:rFonts w:eastAsia="MS Mincho" w:cs="Arial narrow" w:ascii="Arial" w:hAnsi="Arial"/>
          <w:b w:val="false"/>
          <w:bCs w:val="false"/>
          <w:color w:val="000000"/>
          <w:kern w:val="0"/>
          <w:sz w:val="24"/>
          <w:szCs w:val="24"/>
          <w:shd w:fill="FFFFFF" w:val="clear"/>
        </w:rPr>
        <w:t xml:space="preserve"> – </w:t>
      </w:r>
      <w:r>
        <w:rPr>
          <w:rStyle w:val="Fontepargpadro"/>
          <w:rFonts w:cs="Arial narrow" w:ascii="Arial" w:hAnsi="Arial"/>
          <w:b w:val="false"/>
          <w:bCs w:val="false"/>
          <w:sz w:val="24"/>
          <w:szCs w:val="24"/>
          <w:shd w:fill="FFFFFF" w:val="clear"/>
        </w:rPr>
        <w:t>PI</w:t>
      </w:r>
    </w:p>
    <w:p>
      <w:pPr>
        <w:pStyle w:val="Normal"/>
        <w:jc w:val="center"/>
        <w:rPr>
          <w:rFonts w:ascii="Arial" w:hAnsi="Arial"/>
          <w:sz w:val="24"/>
          <w:szCs w:val="24"/>
          <w:shd w:fill="FFFFFF" w:val="clear"/>
        </w:rPr>
      </w:pPr>
      <w:r>
        <w:rPr>
          <w:rFonts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  <w:sz w:val="24"/>
          <w:szCs w:val="24"/>
        </w:rPr>
        <w:t>PROCESSO Nº: __________</w:t>
      </w:r>
      <w:r>
        <w:rPr/>
        <w:commentReference w:id="1"/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ASSUNTO: PEDIDO DE DOAÇÃO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  <w:sz w:val="24"/>
          <w:szCs w:val="24"/>
        </w:rPr>
        <w:t>ACUSADO: __________</w:t>
      </w:r>
      <w:r>
        <w:rPr/>
        <w:commentReference w:id="2"/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  <w:sz w:val="24"/>
          <w:szCs w:val="24"/>
        </w:rPr>
        <w:t>CAPITULAÇÃO JURÍDICA: ART. __________</w:t>
      </w:r>
      <w:r>
        <w:rPr/>
        <w:commentReference w:id="3"/>
      </w:r>
    </w:p>
    <w:p>
      <w:pPr>
        <w:pStyle w:val="Normal"/>
        <w:spacing w:lineRule="auto" w:line="360"/>
        <w:jc w:val="both"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cs="Calibri" w:ascii="Arial" w:hAnsi="Arial" w:cstheme="minorHAnsi"/>
          <w:b/>
          <w:bCs/>
          <w:i/>
          <w:sz w:val="24"/>
          <w:szCs w:val="24"/>
          <w:u w:val="single"/>
        </w:rPr>
        <w:t>Manifestação do Ministério Público</w:t>
      </w:r>
    </w:p>
    <w:p>
      <w:pPr>
        <w:pStyle w:val="Padro"/>
        <w:spacing w:lineRule="auto" w:line="360" w:before="0" w:after="0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tabs>
          <w:tab w:val="clear" w:pos="708"/>
          <w:tab w:val="left" w:pos="2535" w:leader="none"/>
        </w:tabs>
        <w:spacing w:lineRule="auto" w:line="360" w:before="0" w:after="0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ab/>
      </w:r>
    </w:p>
    <w:p>
      <w:pPr>
        <w:pStyle w:val="Padro"/>
        <w:spacing w:lineRule="auto" w:line="360" w:before="0" w:after="0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ab/>
        <w:tab/>
        <w:t xml:space="preserve">O </w:t>
      </w:r>
      <w:r>
        <w:rPr>
          <w:rFonts w:cs="Calibri" w:ascii="Arial" w:hAnsi="Arial" w:cstheme="minorHAnsi"/>
          <w:b/>
        </w:rPr>
        <w:t>MINISTÉRIO PÚBLICO DO ESTADO DO PIAUÍ</w:t>
      </w:r>
      <w:r>
        <w:rPr>
          <w:rFonts w:cs="Calibri" w:ascii="Arial" w:hAnsi="Arial" w:cstheme="minorHAnsi"/>
        </w:rPr>
        <w:t>, por intermédio de seu presentante abaixo signatário, titular da ___ Promotoria de Justiça, vem perante V. Exª., no exercício de suas atribuições legais, em atendimento ao despacho de fl. ___ manifestar-se nos seguintes termos:</w:t>
      </w:r>
    </w:p>
    <w:p>
      <w:pPr>
        <w:pStyle w:val="Padro"/>
        <w:spacing w:lineRule="auto" w:line="360" w:before="0" w:after="0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</w:rPr>
        <w:t>I – Dos Fatos</w:t>
      </w:r>
    </w:p>
    <w:p>
      <w:pPr>
        <w:pStyle w:val="Padro"/>
        <w:spacing w:lineRule="auto" w:line="360" w:before="0" w:after="0"/>
        <w:jc w:val="both"/>
        <w:rPr>
          <w:rFonts w:ascii="Arial" w:hAnsi="Arial" w:cs="Calibri" w:cstheme="minorHAnsi"/>
          <w:b/>
        </w:rPr>
      </w:pPr>
      <w:r>
        <w:rPr>
          <w:rFonts w:cs="Calibri" w:cstheme="minorHAnsi" w:ascii="Arial" w:hAnsi="Arial"/>
          <w:b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>Vinculado ao processo em referência existe uma bicicleta marca _________, cor __________, que se encontra guardada na delegacia de polícia desde ___________________, quando o réu foi preso em flagrante de posse de produtos de crime de roubo.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>Durante a fase inquisitorial e no curso da instrução processual, o réu não conseguiu se desincumbir do ônus de provar a legítima propriedade da bicicleta, tendo ela permanecido sob a guarda da Justiça até a presente data.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>Adveio sentença condenatória, declarada a perda do bem, findo o processo, sem a manifestação de terceiro que se apresentasse como proprietário do referido bem.</w:t>
      </w:r>
    </w:p>
    <w:p>
      <w:pPr>
        <w:pStyle w:val="Padro"/>
        <w:spacing w:lineRule="auto" w:line="360" w:before="0" w:after="0"/>
        <w:jc w:val="both"/>
        <w:rPr>
          <w:rFonts w:ascii="Arial" w:hAnsi="Arial" w:cs="Calibri" w:cstheme="minorHAnsi"/>
          <w:b/>
        </w:rPr>
      </w:pPr>
      <w:r>
        <w:rPr>
          <w:rFonts w:cs="Calibri" w:cstheme="minorHAnsi" w:ascii="Arial" w:hAnsi="Arial"/>
          <w:b/>
        </w:rPr>
      </w:r>
    </w:p>
    <w:p>
      <w:pPr>
        <w:pStyle w:val="Padro"/>
        <w:spacing w:lineRule="auto" w:line="360" w:before="0" w:after="0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</w:rPr>
        <w:t>II – Dos Fundamentos</w:t>
      </w:r>
    </w:p>
    <w:p>
      <w:pPr>
        <w:pStyle w:val="Padro"/>
        <w:spacing w:lineRule="auto" w:line="360" w:before="0" w:after="0"/>
        <w:jc w:val="both"/>
        <w:rPr>
          <w:rFonts w:ascii="Arial" w:hAnsi="Arial" w:cs="Calibri" w:cstheme="minorHAnsi"/>
          <w:b/>
        </w:rPr>
      </w:pPr>
      <w:r>
        <w:rPr>
          <w:rFonts w:cs="Calibri" w:cstheme="minorHAnsi" w:ascii="Arial" w:hAnsi="Arial"/>
          <w:b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>O Ministério Público foi instado pelo Juízo a se manifestar acerca da doação da bicicleta.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>Pois bem.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>No caso em tela, o bem não foi restituído àquele que afirmou ser seu proprietário, tampouco foi reivindicada por terceiro, advindo sentença penal condenatória na qual deu-se o perdimento do bem.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  <w:i/>
        </w:rPr>
        <w:t>In casu</w:t>
      </w:r>
      <w:r>
        <w:rPr>
          <w:rFonts w:cs="Calibri" w:ascii="Arial" w:hAnsi="Arial" w:cstheme="minorHAnsi"/>
        </w:rPr>
        <w:t xml:space="preserve"> e em tese, seria hipótese de submeter o bem a leilão judicial. Contudo, a bicicleta foi avaliada em R$ 350,00 (trezentos e cinquenta reais), valor considerado diminuto especialmente quando se contabiliza os gastos com a realização de leilão.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>O Manual de Bens Apreendidos do Conselho Nacional de Justiça - CNJ prevê a possibilidade de doação do bem apreendido quando atendidas as seguintes condições:</w:t>
      </w:r>
    </w:p>
    <w:p>
      <w:pPr>
        <w:pStyle w:val="Padro"/>
        <w:spacing w:lineRule="auto" w:line="360" w:before="0" w:after="0"/>
        <w:ind w:firstLine="141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spacing w:lineRule="auto" w:line="360" w:before="0" w:after="0"/>
        <w:ind w:hanging="0" w:left="2268"/>
        <w:jc w:val="both"/>
        <w:rPr>
          <w:rFonts w:ascii="Arial" w:hAnsi="Arial"/>
        </w:rPr>
      </w:pPr>
      <w:r>
        <w:rPr>
          <w:rFonts w:cs="Calibri" w:ascii="Arial" w:hAnsi="Arial" w:cstheme="minorHAnsi"/>
          <w:b w:val="false"/>
          <w:bCs w:val="false"/>
          <w:i/>
          <w:sz w:val="20"/>
          <w:szCs w:val="20"/>
        </w:rPr>
        <w:t>“</w:t>
      </w:r>
      <w:r>
        <w:rPr>
          <w:rFonts w:cs="Calibri" w:ascii="Arial" w:hAnsi="Arial" w:cstheme="minorHAnsi"/>
          <w:b/>
          <w:bCs/>
          <w:i/>
          <w:sz w:val="20"/>
          <w:szCs w:val="20"/>
        </w:rPr>
        <w:t>DOAÇÃO</w:t>
      </w:r>
    </w:p>
    <w:p>
      <w:pPr>
        <w:pStyle w:val="Normal"/>
        <w:spacing w:lineRule="auto" w:line="240" w:before="0" w:after="0"/>
        <w:ind w:left="2268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 w:cstheme="minorHAnsi"/>
          <w:i/>
          <w:sz w:val="20"/>
          <w:szCs w:val="20"/>
        </w:rPr>
        <w:t>A doação dos bens depende de alguns requisitos:</w:t>
      </w:r>
    </w:p>
    <w:p>
      <w:pPr>
        <w:pStyle w:val="Normal"/>
        <w:spacing w:lineRule="auto" w:line="240" w:before="0" w:after="0"/>
        <w:ind w:left="2268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 w:cstheme="minorHAnsi"/>
          <w:b/>
          <w:bCs/>
          <w:i/>
          <w:sz w:val="20"/>
          <w:szCs w:val="20"/>
        </w:rPr>
        <w:t>a)</w:t>
      </w:r>
      <w:r>
        <w:rPr>
          <w:rFonts w:cs="Calibri" w:ascii="Arial" w:hAnsi="Arial" w:cstheme="minorHAnsi"/>
          <w:i/>
          <w:sz w:val="20"/>
          <w:szCs w:val="20"/>
        </w:rPr>
        <w:t xml:space="preserve"> </w:t>
      </w:r>
      <w:r>
        <w:rPr>
          <w:rFonts w:cs="Calibri" w:ascii="Arial" w:hAnsi="Arial" w:cstheme="minorHAnsi"/>
          <w:b/>
          <w:bCs/>
          <w:i/>
          <w:sz w:val="20"/>
          <w:szCs w:val="20"/>
        </w:rPr>
        <w:t>quando é decretado o perdimento do bem, ponderar a antieconomicidade do leilão e determinar a doação.</w:t>
      </w:r>
    </w:p>
    <w:p>
      <w:pPr>
        <w:pStyle w:val="Normal"/>
        <w:spacing w:lineRule="auto" w:line="240" w:before="0" w:after="0"/>
        <w:ind w:left="2268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 w:cstheme="minorHAnsi"/>
          <w:b/>
          <w:bCs/>
          <w:i/>
          <w:sz w:val="20"/>
          <w:szCs w:val="20"/>
        </w:rPr>
        <w:t xml:space="preserve">b) </w:t>
      </w:r>
      <w:r>
        <w:rPr>
          <w:rFonts w:cs="Calibri" w:ascii="Arial" w:hAnsi="Arial" w:cstheme="minorHAnsi"/>
          <w:i/>
          <w:sz w:val="20"/>
          <w:szCs w:val="20"/>
        </w:rPr>
        <w:t>quando não é decretado o perdimento do bem:</w:t>
      </w:r>
    </w:p>
    <w:p>
      <w:pPr>
        <w:pStyle w:val="Normal"/>
        <w:spacing w:lineRule="auto" w:line="240" w:before="0" w:after="0"/>
        <w:ind w:left="2268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 w:cstheme="minorHAnsi"/>
          <w:i/>
          <w:sz w:val="20"/>
          <w:szCs w:val="20"/>
        </w:rPr>
        <w:t>* conhecido seu proprietário ou detentor, deverá ser intimado para retirar o bem, advertindo-se que, em caso de inércia, será dada destinação diversa ao bem, que não poderá ser reclamado futuramente;</w:t>
      </w:r>
    </w:p>
    <w:p>
      <w:pPr>
        <w:pStyle w:val="Normal"/>
        <w:spacing w:lineRule="auto" w:line="240" w:before="0" w:after="0"/>
        <w:ind w:left="2268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 w:cstheme="minorHAnsi"/>
          <w:i/>
          <w:sz w:val="20"/>
          <w:szCs w:val="20"/>
        </w:rPr>
        <w:t>* desconhecido seu proprietário ou detentor, o processo deverá aguardar o prazo de 90 dias do trânsito em julgado da decisão final do processo e, após, ponderada a antieconomicidade do leilão, determinar a doação”.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 xml:space="preserve">Frise-se que o art. 123 do Código de Processo Penal dispõe que se o bem não for restituído ao réu ou reclamado por terceiro no prazo de 90 (noventa) dias após o trânsito em julgada de sentença, é caso de leilão. </w:t>
      </w:r>
    </w:p>
    <w:p>
      <w:pPr>
        <w:pStyle w:val="Padro"/>
        <w:spacing w:lineRule="auto" w:line="240" w:before="0" w:after="0"/>
        <w:jc w:val="both"/>
        <w:rPr>
          <w:rFonts w:ascii="Arial" w:hAnsi="Arial" w:cs="Calibri" w:cstheme="minorHAnsi"/>
          <w:i/>
          <w:i/>
          <w:color w:val="000000"/>
        </w:rPr>
      </w:pPr>
      <w:r>
        <w:rPr>
          <w:rFonts w:cs="Calibri" w:cstheme="minorHAnsi" w:ascii="Arial" w:hAnsi="Arial"/>
          <w:i/>
          <w:color w:val="000000"/>
        </w:rPr>
      </w:r>
      <w:bookmarkStart w:id="0" w:name="art123"/>
      <w:bookmarkStart w:id="1" w:name="art123"/>
      <w:bookmarkEnd w:id="1"/>
    </w:p>
    <w:p>
      <w:pPr>
        <w:pStyle w:val="Padro"/>
        <w:spacing w:lineRule="auto" w:line="240" w:before="0" w:after="0"/>
        <w:ind w:left="2268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 w:cstheme="minorHAnsi"/>
          <w:b/>
          <w:bCs/>
          <w:i/>
          <w:color w:val="000000"/>
          <w:sz w:val="20"/>
          <w:szCs w:val="20"/>
        </w:rPr>
        <w:t>Art. 123</w:t>
      </w:r>
      <w:r>
        <w:rPr>
          <w:rFonts w:cs="Calibri" w:ascii="Arial" w:hAnsi="Arial" w:cstheme="minorHAnsi"/>
          <w:i/>
          <w:color w:val="000000"/>
          <w:sz w:val="20"/>
          <w:szCs w:val="20"/>
        </w:rPr>
        <w:t>. Fora dos casos previstos nos artigos anteriores, se dentro no prazo de 90 dias, a contar da data em que transitar em julgado a sentença final, condenatória ou absolutória, os objetos apreendidos não forem reclamados ou não pertencerem ao réu, serão vendidos em leilão, depositando-se o saldo à disposição do juízo de ausentes.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>Aqui também se deve ponderar acerca da economicidade da realização do leilão, não se justificando realiza-lo quando o valor do bem não é suficiente para custear os gastos do leilão, pelo que também não será suficiente para ficar à disposição do juízo de ausentes.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>Na hipótese dos autos, a doação é indicada com respaldo na alínea “a” do tópico concernente às doações do Manual de Manual de Bens Apreendidos do CNJ, em razão de ter sido decretado o perdimento do bem e de a realização de leilão não atender à economicidade.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>Nesse sentido, o</w:t>
      </w:r>
      <w:r>
        <w:rPr>
          <w:rFonts w:cs="Calibri" w:ascii="Arial" w:hAnsi="Arial" w:cstheme="minorHAnsi"/>
          <w:shd w:fill="auto" w:val="clear"/>
        </w:rPr>
        <w:t xml:space="preserve"> </w:t>
      </w:r>
      <w:r>
        <w:rPr>
          <w:rFonts w:cs="Calibri" w:ascii="Arial" w:hAnsi="Arial" w:cstheme="minorHAnsi"/>
          <w:sz w:val="24"/>
          <w:szCs w:val="24"/>
          <w:shd w:fill="auto" w:val="clear"/>
          <w:lang w:val="pt-BR"/>
        </w:rPr>
        <w:t xml:space="preserve">Provimento nº 151/2023, que </w:t>
      </w:r>
      <w:r>
        <w:rPr>
          <w:rFonts w:cs="Calibri" w:ascii="Arial" w:hAnsi="Arial" w:cstheme="minorHAnsi"/>
          <w:sz w:val="24"/>
          <w:szCs w:val="24"/>
          <w:shd w:fill="auto" w:val="clear"/>
          <w:lang w:val="pt-BR" w:eastAsia="pt-BR" w:bidi="ar-SA"/>
        </w:rPr>
        <w:t>dispõe sobre o Código de Normas da Corregedoria no âmbito do Estado do Piauí</w:t>
      </w:r>
      <w:r>
        <w:rPr>
          <w:rFonts w:cs="Calibri" w:ascii="Arial" w:hAnsi="Arial" w:cstheme="minorHAnsi"/>
        </w:rPr>
        <w:t>, em seu art. 322, que prevê:</w:t>
      </w:r>
    </w:p>
    <w:p>
      <w:pPr>
        <w:pStyle w:val="Padro"/>
        <w:spacing w:lineRule="auto" w:line="240" w:before="0" w:after="0"/>
        <w:jc w:val="both"/>
        <w:rPr>
          <w:rFonts w:ascii="Arial" w:hAnsi="Arial" w:cs="Calibri" w:cstheme="minorHAnsi"/>
          <w:i/>
          <w:i/>
        </w:rPr>
      </w:pPr>
      <w:r>
        <w:rPr>
          <w:rFonts w:cs="Calibri" w:cstheme="minorHAnsi" w:ascii="Arial" w:hAnsi="Arial"/>
          <w:i/>
        </w:rPr>
      </w:r>
    </w:p>
    <w:p>
      <w:pPr>
        <w:pStyle w:val="Padro"/>
        <w:spacing w:lineRule="auto" w:line="240" w:before="0" w:after="0"/>
        <w:ind w:left="2268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 w:cstheme="minorHAnsi"/>
          <w:b/>
          <w:bCs/>
          <w:i/>
          <w:sz w:val="20"/>
          <w:szCs w:val="20"/>
        </w:rPr>
        <w:t>Art. 322</w:t>
      </w:r>
      <w:r>
        <w:rPr>
          <w:rFonts w:cs="Calibri" w:ascii="Arial" w:hAnsi="Arial" w:cstheme="minorHAnsi"/>
          <w:i/>
          <w:sz w:val="20"/>
          <w:szCs w:val="20"/>
        </w:rPr>
        <w:t xml:space="preserve">. Ressalvadas as hipóteses previstas na legislação específica, os bens móveis apreendidos que tenham valor diminuto, assim considerados aqueles cujo </w:t>
      </w:r>
      <w:r>
        <w:rPr>
          <w:rFonts w:cs="Calibri" w:ascii="Arial" w:hAnsi="Arial" w:cstheme="minorHAnsi"/>
          <w:b/>
          <w:bCs/>
          <w:i/>
          <w:sz w:val="20"/>
          <w:szCs w:val="20"/>
        </w:rPr>
        <w:t>valor seja igual ou inferior a 02 (dois) salários mínimos</w:t>
      </w:r>
      <w:r>
        <w:rPr>
          <w:rFonts w:cs="Calibri" w:ascii="Arial" w:hAnsi="Arial" w:cstheme="minorHAnsi"/>
          <w:i/>
          <w:sz w:val="20"/>
          <w:szCs w:val="20"/>
        </w:rPr>
        <w:t xml:space="preserve">, e desde que </w:t>
      </w:r>
      <w:r>
        <w:rPr>
          <w:rFonts w:cs="Calibri" w:ascii="Arial" w:hAnsi="Arial" w:cstheme="minorHAnsi"/>
          <w:b/>
          <w:bCs/>
          <w:i/>
          <w:sz w:val="20"/>
          <w:szCs w:val="20"/>
        </w:rPr>
        <w:t>dispensáveis à instrução e julgamento</w:t>
      </w:r>
      <w:r>
        <w:rPr>
          <w:rFonts w:cs="Calibri" w:ascii="Arial" w:hAnsi="Arial" w:cstheme="minorHAnsi"/>
          <w:i/>
          <w:sz w:val="20"/>
          <w:szCs w:val="20"/>
        </w:rPr>
        <w:t xml:space="preserve"> de processos ou procedimentos judiciais ainda pendentes, </w:t>
      </w:r>
      <w:r>
        <w:rPr>
          <w:rFonts w:cs="Calibri" w:ascii="Arial" w:hAnsi="Arial" w:cstheme="minorHAnsi"/>
          <w:b/>
          <w:bCs/>
          <w:i/>
          <w:sz w:val="20"/>
          <w:szCs w:val="20"/>
        </w:rPr>
        <w:t>poderão ser doados para órgãos públicos ou entidades privadas</w:t>
      </w:r>
      <w:r>
        <w:rPr>
          <w:rFonts w:cs="Calibri" w:ascii="Arial" w:hAnsi="Arial" w:cstheme="minorHAnsi"/>
          <w:i/>
          <w:sz w:val="20"/>
          <w:szCs w:val="20"/>
        </w:rPr>
        <w:t xml:space="preserve">, </w:t>
      </w:r>
      <w:r>
        <w:rPr>
          <w:rFonts w:cs="Calibri" w:ascii="Arial" w:hAnsi="Arial" w:cstheme="minorHAnsi"/>
          <w:b/>
          <w:bCs/>
          <w:i/>
          <w:sz w:val="20"/>
          <w:szCs w:val="20"/>
        </w:rPr>
        <w:t>de caráter assistencial e sem fins lucrativos</w:t>
      </w:r>
      <w:r>
        <w:rPr>
          <w:rFonts w:cs="Calibri" w:ascii="Arial" w:hAnsi="Arial" w:cstheme="minorHAnsi"/>
          <w:i/>
          <w:sz w:val="20"/>
          <w:szCs w:val="20"/>
        </w:rPr>
        <w:t xml:space="preserve">, </w:t>
      </w:r>
      <w:r>
        <w:rPr>
          <w:rFonts w:cs="Calibri" w:ascii="Arial" w:hAnsi="Arial" w:cstheme="minorHAnsi"/>
          <w:b/>
          <w:bCs/>
          <w:i/>
          <w:sz w:val="20"/>
          <w:szCs w:val="20"/>
        </w:rPr>
        <w:t>previamente cadastradas</w:t>
      </w:r>
      <w:r>
        <w:rPr>
          <w:rFonts w:cs="Calibri" w:ascii="Arial" w:hAnsi="Arial" w:cstheme="minorHAnsi"/>
          <w:i/>
          <w:sz w:val="20"/>
          <w:szCs w:val="20"/>
        </w:rPr>
        <w:t xml:space="preserve"> e preferencialmente reconhecidas como de utilidade pública, </w:t>
      </w:r>
      <w:r>
        <w:rPr>
          <w:rFonts w:cs="Calibri" w:ascii="Arial" w:hAnsi="Arial" w:cstheme="minorHAnsi"/>
          <w:b/>
          <w:bCs/>
          <w:i/>
          <w:sz w:val="20"/>
          <w:szCs w:val="20"/>
        </w:rPr>
        <w:t>observadas as seguintes condições</w:t>
      </w:r>
      <w:r>
        <w:rPr>
          <w:rFonts w:cs="Calibri" w:ascii="Arial" w:hAnsi="Arial" w:cstheme="minorHAnsi"/>
          <w:i/>
          <w:sz w:val="20"/>
          <w:szCs w:val="20"/>
        </w:rPr>
        <w:t>:</w:t>
      </w:r>
    </w:p>
    <w:p>
      <w:pPr>
        <w:pStyle w:val="Padro"/>
        <w:spacing w:lineRule="auto" w:line="240" w:before="0" w:after="0"/>
        <w:ind w:left="2268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 w:cstheme="minorHAnsi"/>
          <w:b/>
          <w:bCs/>
          <w:i/>
          <w:sz w:val="20"/>
          <w:szCs w:val="20"/>
        </w:rPr>
        <w:t>I</w:t>
      </w:r>
      <w:r>
        <w:rPr>
          <w:rFonts w:cs="Calibri" w:ascii="Arial" w:hAnsi="Arial" w:cstheme="minorHAnsi"/>
          <w:i/>
          <w:sz w:val="20"/>
          <w:szCs w:val="20"/>
        </w:rPr>
        <w:t xml:space="preserve"> - não havendo interesse na restituição do bem, ou sendo esta negada, o juízo autorizará a sua doação, mediante termo próprio nos autos; e</w:t>
      </w:r>
    </w:p>
    <w:p>
      <w:pPr>
        <w:pStyle w:val="Padro"/>
        <w:spacing w:lineRule="auto" w:line="240" w:before="0" w:after="0"/>
        <w:ind w:left="2268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 w:cstheme="minorHAnsi"/>
          <w:b/>
          <w:bCs/>
          <w:i/>
          <w:sz w:val="20"/>
          <w:szCs w:val="20"/>
        </w:rPr>
        <w:t xml:space="preserve">II </w:t>
      </w:r>
      <w:r>
        <w:rPr>
          <w:rFonts w:cs="Calibri" w:ascii="Arial" w:hAnsi="Arial" w:cstheme="minorHAnsi"/>
          <w:i/>
          <w:sz w:val="20"/>
          <w:szCs w:val="20"/>
        </w:rPr>
        <w:t>- nas hipóteses de processos atualmente em andamento ou naqueles já findos, desde que decorrido mais de 01 (um) ano da apreensão do bem, sem manifestação de possíveis interessados, fica autorizada a doação.</w:t>
      </w:r>
    </w:p>
    <w:p>
      <w:pPr>
        <w:pStyle w:val="Padro"/>
        <w:spacing w:lineRule="auto" w:line="240" w:before="0" w:after="0"/>
        <w:ind w:left="2268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 w:cstheme="minorHAnsi"/>
          <w:i/>
          <w:sz w:val="20"/>
          <w:szCs w:val="20"/>
        </w:rPr>
        <w:t>Parágrafo único. Caberá à entidade contemplada com a doação, em caso de aceitação, arcar com eventuais débitos e/ou taxas relacionadas ao bem doado, bem como oferecer todos os meios necessários à retirada e transporte dos mesmos, excetuando-se os casos excepcionais, que serão decididos pela CGJ/PI.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>Portanto, é indicada a doação da bicicleta, sendo o Ministério Público favorável a tal medida desde que em favor de órgão público ou de entidade privada sem fins lucrativos e de caráter assistencial com trabalho reconhecido na cidade de ______________________, de preferência já cadastrada no Poder Judiciário.</w:t>
      </w:r>
    </w:p>
    <w:p>
      <w:pPr>
        <w:pStyle w:val="Padro"/>
        <w:spacing w:lineRule="auto" w:line="360" w:before="0" w:after="0"/>
        <w:jc w:val="both"/>
        <w:rPr>
          <w:rFonts w:ascii="Arial" w:hAnsi="Arial" w:cs="Calibri" w:cstheme="minorHAnsi"/>
          <w:b/>
        </w:rPr>
      </w:pPr>
      <w:r>
        <w:rPr>
          <w:rFonts w:cs="Calibri" w:cstheme="minorHAnsi" w:ascii="Arial" w:hAnsi="Arial"/>
          <w:b/>
        </w:rPr>
      </w:r>
    </w:p>
    <w:p>
      <w:pPr>
        <w:pStyle w:val="Padro"/>
        <w:spacing w:lineRule="auto" w:line="360" w:before="0" w:after="0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</w:rPr>
        <w:t>III – Da Conclusão</w:t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>Assim, o Ministério Público do Estado do Piauí se manifesta favorável à doação da bicicleta marca __________, cor _________, avaliada em R$ 350,00 (trezentos e cinquenta reais) a órgão público ou a entidade privada sem fins lucrativos e de caráter assistencial com trabalho reconhecido na cidade de ______________________, de preferência já cadastrada no Poder Judiciário, mediante termo de doação a ser juntado aos autos.</w:t>
      </w:r>
    </w:p>
    <w:p>
      <w:pPr>
        <w:pStyle w:val="Padro"/>
        <w:spacing w:lineRule="auto" w:line="360" w:before="0" w:after="0"/>
        <w:ind w:firstLine="141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spacing w:lineRule="auto" w:line="360" w:before="0" w:after="0"/>
        <w:ind w:firstLine="141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BodyText"/>
        <w:spacing w:lineRule="auto" w:line="360" w:before="0" w:after="0"/>
        <w:jc w:val="center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sz w:val="24"/>
          <w:szCs w:val="24"/>
        </w:rPr>
        <w:t xml:space="preserve">____________-PI, </w:t>
      </w:r>
      <w:r>
        <w:rPr>
          <w:rFonts w:cs="Calibri" w:ascii="Arial" w:hAnsi="Arial"/>
          <w:sz w:val="24"/>
          <w:szCs w:val="24"/>
        </w:rPr>
        <w:fldChar w:fldCharType="begin"/>
      </w:r>
      <w:r>
        <w:rPr>
          <w:sz w:val="24"/>
          <w:szCs w:val="24"/>
          <w:rFonts w:cs="Calibri" w:ascii="Arial" w:hAnsi="Arial"/>
        </w:rPr>
        <w:instrText xml:space="preserve"> DATE \@"d' de 'MMMM' de 'yyyy" </w:instrText>
      </w:r>
      <w:r>
        <w:rPr>
          <w:sz w:val="24"/>
          <w:szCs w:val="24"/>
          <w:rFonts w:cs="Calibri" w:ascii="Arial" w:hAnsi="Arial"/>
        </w:rPr>
        <w:fldChar w:fldCharType="separate"/>
      </w:r>
      <w:r>
        <w:rPr>
          <w:sz w:val="24"/>
          <w:szCs w:val="24"/>
          <w:rFonts w:cs="Calibri" w:ascii="Arial" w:hAnsi="Arial"/>
        </w:rPr>
        <w:t>15 de fevereiro de 2024</w:t>
      </w:r>
      <w:r>
        <w:rPr>
          <w:sz w:val="24"/>
          <w:szCs w:val="24"/>
          <w:rFonts w:cs="Calibri" w:ascii="Arial" w:hAnsi="Arial"/>
        </w:rPr>
        <w:fldChar w:fldCharType="end"/>
      </w:r>
      <w:r>
        <w:rPr/>
        <w:commentReference w:id="4"/>
      </w:r>
    </w:p>
    <w:p>
      <w:pPr>
        <w:pStyle w:val="BodyText"/>
        <w:spacing w:lineRule="auto" w:line="360" w:before="0" w:after="0"/>
        <w:jc w:val="center"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 w:ascii="Arial" w:hAnsi="Arial"/>
          <w:sz w:val="24"/>
          <w:szCs w:val="24"/>
        </w:rPr>
      </w:r>
    </w:p>
    <w:p>
      <w:pPr>
        <w:pStyle w:val="BodyText"/>
        <w:spacing w:lineRule="auto" w:line="360" w:before="0" w:after="0"/>
        <w:jc w:val="center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sz w:val="24"/>
          <w:szCs w:val="24"/>
        </w:rPr>
        <w:t>______________________________________________________</w:t>
      </w:r>
    </w:p>
    <w:p>
      <w:pPr>
        <w:pStyle w:val="BodyText"/>
        <w:spacing w:lineRule="auto" w:line="360" w:before="0" w:after="0"/>
        <w:jc w:val="center"/>
        <w:rPr>
          <w:sz w:val="24"/>
          <w:szCs w:val="24"/>
        </w:rPr>
      </w:pPr>
      <w:r>
        <w:rPr>
          <w:rFonts w:cs="Calibri" w:ascii="Arial" w:hAnsi="Arial" w:cstheme="minorHAnsi"/>
          <w:b/>
          <w:bCs/>
          <w:sz w:val="24"/>
          <w:szCs w:val="24"/>
        </w:rPr>
        <w:t>PROMOTOR(A) DE JUSTIÇA</w:t>
      </w:r>
    </w:p>
    <w:p>
      <w:pPr>
        <w:pStyle w:val="Normal"/>
        <w:spacing w:lineRule="auto" w:line="240" w:before="0" w:after="0"/>
        <w:rPr>
          <w:rFonts w:ascii="Arial" w:hAnsi="Arial" w:cs="MinionPro-Regular"/>
          <w:color w:val="000000"/>
          <w:sz w:val="24"/>
          <w:szCs w:val="24"/>
        </w:rPr>
      </w:pPr>
      <w:r>
        <w:rPr>
          <w:rFonts w:cs="MinionPro-Regular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MinionPro-Regular"/>
          <w:color w:val="000000"/>
          <w:sz w:val="24"/>
          <w:szCs w:val="24"/>
        </w:rPr>
      </w:pPr>
      <w:r>
        <w:rPr>
          <w:rFonts w:cs="MinionPro-Regular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MinionPro-Regular"/>
          <w:color w:val="000000"/>
          <w:sz w:val="24"/>
          <w:szCs w:val="24"/>
        </w:rPr>
      </w:pPr>
      <w:r>
        <w:rPr>
          <w:rFonts w:cs="MinionPro-Regular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MinionPro-Regular"/>
          <w:color w:val="000000"/>
          <w:sz w:val="24"/>
          <w:szCs w:val="24"/>
        </w:rPr>
      </w:pPr>
      <w:r>
        <w:rPr>
          <w:rFonts w:cs="MinionPro-Regular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MinionPro-Regular"/>
          <w:color w:val="000000"/>
          <w:sz w:val="24"/>
          <w:szCs w:val="24"/>
        </w:rPr>
      </w:pPr>
      <w:r>
        <w:rPr>
          <w:rFonts w:cs="MinionPro-Regular" w:ascii="Arial" w:hAnsi="Arial"/>
          <w:color w:val="000000"/>
          <w:sz w:val="24"/>
          <w:szCs w:val="24"/>
        </w:rPr>
      </w:r>
    </w:p>
    <w:sectPr>
      <w:footerReference w:type="default" r:id="rId3"/>
      <w:type w:val="nextPage"/>
      <w:pgSz w:w="11906" w:h="16838"/>
      <w:pgMar w:left="1701" w:right="1701" w:gutter="0" w:header="0" w:top="708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CAOCRIM" w:date="2024-01-18T10:12:39Z" w:initials="">
    <w:p>
      <w:pPr>
        <w:overflowPunct w:val="false"/>
        <w:bidi w:val="0"/>
        <w:spacing w:before="0" w:after="0" w:lineRule="auto" w:line="240"/>
        <w:ind w:left="0" w:right="0" w:hanging="0"/>
        <w:jc w:val="both"/>
        <w:rPr/>
      </w:pPr>
      <w:r>
        <w:rPr>
          <w:rFonts w:ascii="Calibri Light" w:hAnsi="Calibri Light" w:eastAsia="SimSun" w:cs="Mangal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 xml:space="preserve">Inserir o </w:t>
      </w:r>
      <w:r>
        <w:rPr>
          <w:rFonts w:ascii="Calibri Light" w:hAnsi="Calibri Light" w:eastAsia="SimSun" w:cs="Mangal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>nome da</w:t>
      </w:r>
      <w:r>
        <w:rPr>
          <w:rFonts w:ascii="Calibri Light" w:hAnsi="Calibri Light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 xml:space="preserve"> </w:t>
      </w:r>
      <w:r>
        <w:rPr>
          <w:rFonts w:ascii="Calibri Light" w:hAnsi="Calibri Light" w:eastAsia="SimSun" w:cs="Mangal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>Comarca.</w:t>
      </w:r>
    </w:p>
  </w:comment>
  <w:comment w:id="1" w:author="CAOCRIM" w:date="2024-01-19T12:26:24Z" w:initials="CAOCRIM">
    <w:p>
      <w:pPr>
        <w:overflowPunct w:val="fals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Inserir o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número do processo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2" w:author="CAOCRIM" w:date="2024-01-19T12:26:38Z" w:initials="CAOCRIM">
    <w:p>
      <w:pPr>
        <w:overflowPunct w:val="false"/>
        <w:bidi w:val="0"/>
        <w:spacing w:before="0" w:after="0" w:lineRule="auto" w:line="240"/>
        <w:ind w:hanging="0"/>
        <w:jc w:val="both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Inserir o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 nome completo do acusado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3" w:author="CAOCRIM" w:date="2024-01-19T12:26:58Z" w:initials="CAOCRIM">
    <w:p>
      <w:pPr>
        <w:overflowPunct w:val="false"/>
        <w:bidi w:val="0"/>
        <w:spacing w:before="0" w:after="0" w:lineRule="auto" w:line="240"/>
        <w:ind w:hanging="0"/>
        <w:jc w:val="both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Inserir o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artigo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 do Código Penal.</w:t>
      </w:r>
    </w:p>
  </w:comment>
  <w:comment w:id="4" w:author="CAOCRIM" w:date="2024-01-19T12:43:50Z" w:initials="CAOCRIM">
    <w:p>
      <w:pPr>
        <w:overflowPunct w:val="fals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Data automática.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4370380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qFormat/>
    <w:rsid w:val="004e4566"/>
    <w:rPr>
      <w:rFonts w:ascii="Times New Roman" w:hAnsi="Times New Roman" w:eastAsia="Times New Roman" w:cs="Times New Roman"/>
      <w:color w:val="00000A"/>
      <w:sz w:val="28"/>
      <w:szCs w:val="24"/>
      <w:lang w:eastAsia="pt-BR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4e4566"/>
    <w:rPr>
      <w:rFonts w:eastAsia="" w:eastAsiaTheme="minorEastAsia"/>
      <w:sz w:val="20"/>
      <w:szCs w:val="20"/>
      <w:lang w:eastAsia="pt-BR"/>
    </w:rPr>
  </w:style>
  <w:style w:type="character" w:styleId="Caracteresdenotaderodap">
    <w:name w:val="Caracteres de nota de rodapé"/>
    <w:uiPriority w:val="99"/>
    <w:semiHidden/>
    <w:unhideWhenUsed/>
    <w:qFormat/>
    <w:rsid w:val="004e456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ighlightbrs" w:customStyle="1">
    <w:name w:val="highlightbrs"/>
    <w:basedOn w:val="DefaultParagraphFont"/>
    <w:qFormat/>
    <w:rsid w:val="004e4566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e4566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4e4566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4e4566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4e4566"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DefaultParagraphFont"/>
    <w:qFormat/>
    <w:rsid w:val="004e4566"/>
    <w:rPr/>
  </w:style>
  <w:style w:type="character" w:styleId="RodapChar" w:customStyle="1">
    <w:name w:val="Rodapé Char"/>
    <w:basedOn w:val="DefaultParagraphFont"/>
    <w:uiPriority w:val="99"/>
    <w:qFormat/>
    <w:rsid w:val="004e4566"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Padro"/>
    <w:link w:val="CorpodetextoChar"/>
    <w:rsid w:val="004e4566"/>
    <w:pPr>
      <w:spacing w:before="0" w:after="120"/>
    </w:pPr>
    <w:rPr>
      <w:sz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Padro" w:customStyle="1">
    <w:name w:val="Padrão"/>
    <w:qFormat/>
    <w:rsid w:val="004e4566"/>
    <w:pPr>
      <w:widowControl/>
      <w:tabs>
        <w:tab w:val="left" w:pos="708" w:leader="none"/>
      </w:tabs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qFormat/>
    <w:rsid w:val="004e45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4e4566"/>
    <w:pPr>
      <w:spacing w:lineRule="auto" w:line="240" w:before="0" w:after="0"/>
    </w:pPr>
    <w:rPr>
      <w:rFonts w:eastAsia="" w:eastAsiaTheme="minorEastAsia"/>
      <w:sz w:val="20"/>
      <w:szCs w:val="20"/>
      <w:lang w:eastAsia="pt-BR"/>
    </w:rPr>
  </w:style>
  <w:style w:type="paragraph" w:styleId="Texto2" w:customStyle="1">
    <w:name w:val="texto2"/>
    <w:basedOn w:val="Normal"/>
    <w:qFormat/>
    <w:rsid w:val="004e45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e456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4e4566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e456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nhideWhenUsed/>
    <w:rsid w:val="004e456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4e456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7BB9D-3C8E-44E0-B2C3-55B4B28D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LibreOffice/7.6.2.1$Windows_X86_64 LibreOffice_project/56f7684011345957bbf33a7ee678afaf4d2ba333</Application>
  <AppVersion>15.0000</AppVersion>
  <Pages>3</Pages>
  <Words>899</Words>
  <Characters>4836</Characters>
  <CharactersWithSpaces>5705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2019-12-10T17:18:00Z</dcterms:created>
  <dc:creator>MPPI</dc:creator>
  <dc:description/>
  <dc:language>pt-BR</dc:language>
  <cp:lastModifiedBy>CAOCRIM</cp:lastModifiedBy>
  <dcterms:modified xsi:type="dcterms:W3CDTF">2024-01-23T12:09:07Z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