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27305</wp:posOffset>
            </wp:positionV>
            <wp:extent cx="5759450" cy="1130935"/>
            <wp:effectExtent l="0" t="0" r="0" b="0"/>
            <wp:wrapTopAndBottom/>
            <wp:docPr id="1" name="figuras1 Copi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 Copi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Fontepargpadro"/>
          <w:rFonts w:cs="Arial" w:ascii="Arial" w:hAnsi="Arial"/>
          <w:b/>
          <w:sz w:val="22"/>
          <w:szCs w:val="22"/>
        </w:rPr>
        <w:t xml:space="preserve"> </w:t>
      </w:r>
      <w:r>
        <w:rPr>
          <w:rStyle w:val="Fontepargpadro"/>
          <w:rFonts w:cs="Arial narrow" w:ascii="Arial" w:hAnsi="Arial"/>
          <w:b w:val="false"/>
          <w:bCs w:val="false"/>
          <w:sz w:val="22"/>
          <w:szCs w:val="22"/>
          <w:shd w:fill="FFFFFF" w:val="clear"/>
        </w:rPr>
        <w:t>PROMOTORIA DE JUSTIÇA DE</w:t>
      </w:r>
      <w:r>
        <w:rPr>
          <w:rStyle w:val="Fontepargpadro"/>
          <w:rFonts w:cs="Arial narrow" w:ascii="Arial" w:hAnsi="Arial"/>
          <w:b w:val="false"/>
          <w:bCs w:val="false"/>
          <w:sz w:val="22"/>
          <w:szCs w:val="22"/>
          <w:u w:val="none"/>
          <w:shd w:fill="FFFFFF" w:val="clear"/>
        </w:rPr>
        <w:t xml:space="preserve"> </w:t>
      </w:r>
      <w:r>
        <w:rPr>
          <w:rStyle w:val="Fontepargpadro"/>
          <w:rFonts w:eastAsia="MS Mincho" w:cs="Arial" w:ascii="Arial" w:hAnsi="Arial"/>
          <w:b w:val="false"/>
          <w:bCs w:val="false"/>
          <w:color w:val="000000"/>
          <w:kern w:val="0"/>
          <w:sz w:val="22"/>
          <w:szCs w:val="22"/>
          <w:u w:val="none"/>
          <w:shd w:fill="FFFFFF" w:val="clear"/>
        </w:rPr>
        <w:t>____________</w:t>
      </w:r>
      <w:r>
        <w:rPr>
          <w:sz w:val="22"/>
          <w:szCs w:val="22"/>
        </w:rPr>
        <w:commentReference w:id="0"/>
      </w:r>
      <w:r>
        <w:rPr>
          <w:rStyle w:val="Fontepargpadro"/>
          <w:rFonts w:eastAsia="MS Mincho" w:cs="Arial narrow" w:ascii="Arial" w:hAnsi="Arial"/>
          <w:b w:val="false"/>
          <w:bCs w:val="false"/>
          <w:color w:val="000000"/>
          <w:kern w:val="0"/>
          <w:sz w:val="22"/>
          <w:szCs w:val="22"/>
          <w:shd w:fill="FFFFFF" w:val="clear"/>
        </w:rPr>
        <w:t xml:space="preserve"> – </w:t>
      </w:r>
      <w:r>
        <w:rPr>
          <w:rStyle w:val="Fontepargpadro"/>
          <w:rFonts w:cs="Arial narrow" w:ascii="Arial" w:hAnsi="Arial"/>
          <w:b w:val="false"/>
          <w:bCs w:val="false"/>
          <w:sz w:val="22"/>
          <w:szCs w:val="22"/>
          <w:shd w:fill="FFFFFF" w:val="clear"/>
        </w:rPr>
        <w:t>PI</w:t>
      </w:r>
    </w:p>
    <w:p>
      <w:pPr>
        <w:pStyle w:val="Normal"/>
        <w:jc w:val="center"/>
        <w:rPr>
          <w:rFonts w:ascii="Arial" w:hAnsi="Arial"/>
          <w:sz w:val="22"/>
          <w:szCs w:val="22"/>
          <w:shd w:fill="FFFFFF" w:val="clear"/>
        </w:rPr>
      </w:pPr>
      <w:r>
        <w:rPr>
          <w:rFonts w:ascii="Arial" w:hAnsi="Arial"/>
          <w:sz w:val="22"/>
          <w:szCs w:val="22"/>
          <w:shd w:fill="FFFFFF" w:val="clear"/>
        </w:rPr>
      </w:r>
    </w:p>
    <w:p>
      <w:pPr>
        <w:pStyle w:val="BodyText"/>
        <w:tabs>
          <w:tab w:val="clear" w:pos="708"/>
          <w:tab w:val="left" w:pos="217" w:leader="none"/>
          <w:tab w:val="center" w:pos="4677" w:leader="none"/>
        </w:tabs>
        <w:jc w:val="center"/>
        <w:rPr>
          <w:rFonts w:ascii="Arial" w:hAnsi="Arial"/>
          <w:b/>
          <w:bCs/>
          <w:sz w:val="22"/>
          <w:szCs w:val="22"/>
          <w:shd w:fill="FFFFFF" w:val="clear"/>
        </w:rPr>
      </w:pPr>
      <w:r>
        <w:rPr>
          <w:rFonts w:ascii="Arial" w:hAnsi="Arial"/>
          <w:b/>
          <w:bCs/>
          <w:sz w:val="22"/>
          <w:szCs w:val="22"/>
          <w:shd w:fill="FFFFFF" w:val="clear"/>
        </w:rPr>
      </w:r>
    </w:p>
    <w:p>
      <w:pPr>
        <w:pStyle w:val="MPMGCabecalho"/>
        <w:jc w:val="center"/>
        <w:rPr/>
      </w:pPr>
      <w:r>
        <w:rPr>
          <w:rStyle w:val="Fontepargpadro"/>
          <w:rFonts w:eastAsia="MS Mincho" w:cs="Arial narrow" w:ascii="Arial" w:hAnsi="Arial"/>
          <w:b/>
          <w:bCs/>
          <w:color w:val="000000"/>
          <w:kern w:val="0"/>
          <w:sz w:val="22"/>
          <w:szCs w:val="22"/>
          <w:shd w:fill="FFFFFF" w:val="clear"/>
        </w:rPr>
        <w:t xml:space="preserve">EXCELENTÍSSIMO(A) SENHOR(A) DOUTOR(A) JUIZ(A) DE DIREITO DA </w:t>
      </w:r>
      <w:r>
        <w:rPr>
          <w:rStyle w:val="Fontepargpadro"/>
          <w:rFonts w:eastAsia="MS Mincho" w:cs="Arial" w:ascii="Arial" w:hAnsi="Arial"/>
          <w:b/>
          <w:bCs/>
          <w:color w:val="000000"/>
          <w:kern w:val="0"/>
          <w:sz w:val="22"/>
          <w:szCs w:val="22"/>
          <w:shd w:fill="FFFFFF" w:val="clear"/>
        </w:rPr>
        <w:t>______</w:t>
      </w:r>
      <w:r>
        <w:rPr>
          <w:rStyle w:val="Fontepargpadro"/>
          <w:rFonts w:eastAsia="MS Mincho" w:cs="Arial narrow" w:ascii="Arial" w:hAnsi="Arial"/>
          <w:b/>
          <w:bCs/>
          <w:color w:val="000000"/>
          <w:kern w:val="0"/>
          <w:sz w:val="22"/>
          <w:szCs w:val="22"/>
          <w:shd w:fill="FFFFFF" w:val="clear"/>
        </w:rPr>
        <w:t xml:space="preserve"> VARA </w:t>
      </w:r>
      <w:r>
        <w:rPr>
          <w:rStyle w:val="Fontepargpadro"/>
          <w:rFonts w:eastAsia="MS Mincho" w:cs="Arial" w:ascii="Arial" w:hAnsi="Arial"/>
          <w:b/>
          <w:bCs/>
          <w:color w:val="000000"/>
          <w:kern w:val="0"/>
          <w:sz w:val="22"/>
          <w:szCs w:val="22"/>
          <w:shd w:fill="FFFFFF" w:val="clear"/>
        </w:rPr>
        <w:t xml:space="preserve">______ </w:t>
      </w:r>
      <w:r>
        <w:rPr>
          <w:rStyle w:val="Fontepargpadro"/>
          <w:rFonts w:eastAsia="MS Mincho" w:cs="Arial narrow" w:ascii="Arial" w:hAnsi="Arial"/>
          <w:b/>
          <w:bCs/>
          <w:color w:val="000000"/>
          <w:kern w:val="0"/>
          <w:sz w:val="22"/>
          <w:szCs w:val="22"/>
          <w:shd w:fill="FFFFFF" w:val="clear"/>
        </w:rPr>
        <w:t>DA COMARCA DE</w:t>
      </w:r>
      <w:r>
        <w:rPr>
          <w:rStyle w:val="Fontepargpadro"/>
          <w:rFonts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Style w:val="Fontepargpadro"/>
          <w:rFonts w:eastAsia="MS Mincho" w:cs="Arial" w:ascii="Arial" w:hAnsi="Arial"/>
          <w:b/>
          <w:bCs/>
          <w:color w:val="000000"/>
          <w:kern w:val="0"/>
          <w:sz w:val="22"/>
          <w:szCs w:val="22"/>
          <w:shd w:fill="FFFFFF" w:val="clear"/>
        </w:rPr>
        <w:t>______</w:t>
      </w:r>
      <w:r>
        <w:rPr>
          <w:sz w:val="22"/>
          <w:szCs w:val="22"/>
        </w:rPr>
        <w:commentReference w:id="1"/>
      </w:r>
      <w:r>
        <w:rPr>
          <w:rStyle w:val="Fontepargpadro"/>
          <w:rFonts w:eastAsia="MS Mincho" w:cs="Arial narrow" w:ascii="Arial" w:hAnsi="Arial"/>
          <w:b/>
          <w:bCs/>
          <w:color w:val="000000"/>
          <w:kern w:val="0"/>
          <w:sz w:val="22"/>
          <w:szCs w:val="22"/>
          <w:shd w:fill="FFFFFF" w:val="clear"/>
        </w:rPr>
        <w:t xml:space="preserve"> – PI</w:t>
      </w:r>
    </w:p>
    <w:p>
      <w:pPr>
        <w:pStyle w:val="Padro"/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tabs>
          <w:tab w:val="clear" w:pos="708"/>
          <w:tab w:val="left" w:pos="2535" w:leader="none"/>
        </w:tabs>
        <w:spacing w:lineRule="auto" w:line="360" w:before="0" w:after="0"/>
        <w:jc w:val="both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</w:r>
    </w:p>
    <w:p>
      <w:pPr>
        <w:pStyle w:val="Padro"/>
        <w:spacing w:lineRule="auto" w:line="360" w:before="0" w:after="0"/>
        <w:jc w:val="both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ab/>
        <w:t xml:space="preserve">O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MINISTÉRIO PÚBLICO DO ESTADO DO PIAUÍ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, por intermédio de seu presentante abaixo signatário, titular da ___ Promotoria de Justiça, vem perante V. Ex.ª, no exercício de suas atribuições legais, expor os fatos e os fundamentos jurídicos para, ao final, requerer o que segue.</w:t>
      </w:r>
    </w:p>
    <w:p>
      <w:pPr>
        <w:pStyle w:val="Padro"/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lineRule="auto" w:line="360" w:before="0" w:after="0"/>
        <w:jc w:val="both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 – Dos Fatos</w:t>
      </w:r>
    </w:p>
    <w:p>
      <w:pPr>
        <w:pStyle w:val="Padro"/>
        <w:spacing w:lineRule="auto" w:line="360" w:before="0" w:after="0"/>
        <w:ind w:firstLine="1418"/>
        <w:jc w:val="both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No dia __________</w:t>
      </w:r>
      <w:r>
        <w:rPr>
          <w:sz w:val="22"/>
          <w:szCs w:val="22"/>
        </w:rPr>
        <w:commentReference w:id="2"/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, em visita técnica à Delegacia de Polícia de _________________, em cumprimento ao disposto na </w:t>
      </w:r>
      <w:r>
        <w:rPr>
          <w:rFonts w:cs="Calibri" w:ascii="Calibri" w:hAnsi="Calibri" w:asciiTheme="minorHAnsi" w:cstheme="minorHAnsi" w:hAnsiTheme="minorHAnsi"/>
          <w:sz w:val="22"/>
          <w:szCs w:val="22"/>
          <w:u w:val="none"/>
        </w:rPr>
        <w:t>Resolução CNMP nº 20/2007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, este(a) Promotor(a) de Justiça verificou o grande acúmulo de bens apreendidos dos mais diversos, dentre eles carros, motocicletas, armazenados no pátio da Delegacia local há longos anos. </w:t>
      </w:r>
    </w:p>
    <w:p>
      <w:pPr>
        <w:pStyle w:val="Padro"/>
        <w:spacing w:lineRule="auto" w:line="360" w:before="0" w:after="0"/>
        <w:ind w:firstLine="141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lineRule="auto" w:line="360" w:before="0" w:after="0"/>
        <w:ind w:firstLine="1418"/>
        <w:jc w:val="both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Tal situação é constatada rotineiramente nas visitas técnicas à dita unidade policial, o que causa preocupação sobre os riscos inerentes a tal armazenamento, precário e ilegítimo, e que coloca em risco a integridade e a saúde daqueles que frequentam as instalações da Polícia Civil local.</w:t>
      </w:r>
    </w:p>
    <w:p>
      <w:pPr>
        <w:pStyle w:val="Normal"/>
        <w:spacing w:lineRule="auto" w:line="360" w:before="0" w:after="0"/>
        <w:ind w:firstLine="1418"/>
        <w:jc w:val="both"/>
        <w:rPr>
          <w:rFonts w:ascii="Calibri" w:hAnsi="Calibri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spacing w:lineRule="auto" w:line="360" w:before="0" w:after="0"/>
        <w:ind w:firstLine="1418"/>
        <w:jc w:val="both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Outrossim, conforme informações prestadas em Ofício nº __ pela Autoridade Policial, entre os bens armazenados, encontram-se diversos </w:t>
      </w:r>
      <w:r>
        <w:rPr>
          <w:rFonts w:cs="Calibri" w:cstheme="minorHAnsi"/>
          <w:b/>
          <w:sz w:val="22"/>
          <w:szCs w:val="22"/>
        </w:rPr>
        <w:t>objetos não mais vinculados aos procedimentos criminais no bojo dos quais foram apreendidos.</w:t>
      </w:r>
    </w:p>
    <w:p>
      <w:pPr>
        <w:pStyle w:val="Normal"/>
        <w:spacing w:lineRule="auto" w:line="360" w:before="0" w:after="0"/>
        <w:ind w:firstLine="1418"/>
        <w:jc w:val="both"/>
        <w:rPr>
          <w:rFonts w:cs="Calibri" w:cstheme="minorHAnsi"/>
        </w:rPr>
      </w:pPr>
      <w:r>
        <w:rPr>
          <w:sz w:val="22"/>
          <w:szCs w:val="22"/>
        </w:rPr>
      </w:r>
    </w:p>
    <w:p>
      <w:pPr>
        <w:pStyle w:val="Normal"/>
        <w:spacing w:lineRule="auto" w:line="360" w:before="0" w:after="0"/>
        <w:ind w:firstLine="1418"/>
        <w:jc w:val="both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>Nesta senda, vislumbra-se a necessidade de proceder o levantamento dos referidos bens, com o escopo de assegurar-lhes destinação adequada, de modo a evitar o seu perecimento pelas precárias condições de armazenamento, bem como o abarrotamento do depósito da delegacia do _º distrito policial.</w:t>
      </w:r>
    </w:p>
    <w:p>
      <w:pPr>
        <w:pStyle w:val="Normal"/>
        <w:spacing w:lineRule="auto" w:line="360" w:before="0" w:after="0"/>
        <w:ind w:firstLine="1418"/>
        <w:jc w:val="both"/>
        <w:rPr>
          <w:rFonts w:ascii="Calibri" w:hAnsi="Calibri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spacing w:lineRule="auto" w:line="360" w:before="0" w:after="0"/>
        <w:ind w:firstLine="1418"/>
        <w:jc w:val="both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Para tanto, faz-se necessário que o Poder Judiciário assuma o protagonismo previsto em lei e em atos normativos, adotando as providências ao alcance para identificar, avaliar e destinar os bens apreendidos que se encontram na unidade de Polícia Civil ou mesmo no prédio do Fórum, estabelecendo um fluxo procedimental constante para solucionar o problema de acúmulo de bens apreendidos. </w:t>
      </w:r>
    </w:p>
    <w:p>
      <w:pPr>
        <w:pStyle w:val="Normal"/>
        <w:spacing w:lineRule="auto" w:line="360" w:before="0" w:after="0"/>
        <w:ind w:firstLine="1418"/>
        <w:jc w:val="both"/>
        <w:rPr>
          <w:rFonts w:ascii="Calibri" w:hAnsi="Calibri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>
          <w:sz w:val="22"/>
          <w:szCs w:val="22"/>
        </w:rPr>
      </w:pPr>
      <w:r>
        <w:rPr>
          <w:rFonts w:cs="Calibri" w:cstheme="minorHAnsi"/>
          <w:b/>
          <w:sz w:val="22"/>
          <w:szCs w:val="22"/>
        </w:rPr>
        <w:t>II – Dos Fundamentos</w:t>
      </w:r>
    </w:p>
    <w:p>
      <w:pPr>
        <w:pStyle w:val="Normal"/>
        <w:spacing w:lineRule="auto" w:line="360" w:before="0" w:after="0"/>
        <w:ind w:firstLine="1418"/>
        <w:jc w:val="both"/>
        <w:rPr>
          <w:rFonts w:ascii="Calibri" w:hAnsi="Calibri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BodyText"/>
        <w:spacing w:lineRule="auto" w:line="360" w:before="0" w:after="0"/>
        <w:ind w:firstLine="1418"/>
        <w:jc w:val="both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Na hipótese presente, concernente a bens apreendidos que, por diversas razões, perderam a vinculação com procedimentos e processos, tanto é possível quanto indicada a decretação de perdimento pelo decurso do tempo, para fins de alienação, doação ou destruição, quando inviável a restituição.</w:t>
      </w:r>
    </w:p>
    <w:p>
      <w:pPr>
        <w:pStyle w:val="BodyText"/>
        <w:spacing w:lineRule="auto" w:line="360" w:before="0" w:after="0"/>
        <w:ind w:firstLine="113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BodyText"/>
        <w:spacing w:lineRule="auto" w:line="360" w:before="0" w:after="0"/>
        <w:ind w:firstLine="1418"/>
        <w:jc w:val="both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Para tanto, incumbe ao Poder Judiciário, por meio de procedimento específico: (1) levantar e identificar todos os bens apreendidos; (2) dar publicidade da existência deles, possibilitando a sua restituição a quem de direito, quando viável; (3) proceder à avaliação do seu estado de conservação; e (4) decidir pela alienação, doação ou destruição, na forma como orienta o arcabouço normativo em vigor.</w:t>
      </w:r>
    </w:p>
    <w:p>
      <w:pPr>
        <w:pStyle w:val="NormalWeb"/>
        <w:spacing w:lineRule="auto" w:line="360" w:beforeAutospacing="0" w:before="0" w:afterAutospacing="0" w:after="0"/>
        <w:ind w:firstLine="141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spacing w:lineRule="auto" w:line="360" w:beforeAutospacing="0" w:before="0" w:afterAutospacing="0" w:after="0"/>
        <w:ind w:firstLine="1418"/>
        <w:jc w:val="both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A esse respeito, o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Código de Normas da Corregedoria Geral da Justiça do Estado do Piauí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(Provimento CGJ/PI nº 151/2023)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estabelece que cumpre ao Diretor do respectivo Fórum realizar o levantamento dos aludidos bens – sejam aqueles armazenados nos fóruns, nos prédios da Secretaria de Segurança ou nas delegacias – a fim de conferir-lhes destino final.</w:t>
      </w:r>
    </w:p>
    <w:p>
      <w:pPr>
        <w:pStyle w:val="NormalWeb"/>
        <w:spacing w:lineRule="auto" w:line="360" w:beforeAutospacing="0" w:before="0" w:afterAutospacing="0" w:after="0"/>
        <w:ind w:firstLine="1418"/>
        <w:jc w:val="both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Uma vez constatada a existência de bens armazenados por mais de 90 (noventa) dias e não reclamados, caberá a instauração de Procedimento Administrativo com a publicação da relação de bens, a fim de que eventuais proprietários possam reclamá-los em prazo hábil, vide a redação a seguir:</w:t>
      </w:r>
    </w:p>
    <w:p>
      <w:pPr>
        <w:pStyle w:val="NormalWeb"/>
        <w:spacing w:beforeAutospacing="0" w:before="0" w:afterAutospacing="0" w:after="0"/>
        <w:ind w:left="1701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2268"/>
        <w:jc w:val="both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i/>
          <w:iCs/>
          <w:sz w:val="22"/>
          <w:szCs w:val="22"/>
        </w:rPr>
        <w:t>Art. 338.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  <w:u w:val="single"/>
        </w:rPr>
        <w:t>Os(As) Diretores(as) dos Fóruns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 xml:space="preserve"> realizarão o levantamento detalhado de todos os bens apreendidos e que se encontram em suas dependências,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  <w:u w:val="single"/>
        </w:rPr>
        <w:t>armazenados há mais de 90 (noventa) dias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 xml:space="preserve">, que até o momento </w:t>
      </w:r>
      <w:r>
        <w:rPr>
          <w:rFonts w:cs="Calibri" w:ascii="Calibri" w:hAnsi="Calibri" w:asciiTheme="minorHAnsi" w:cstheme="minorHAnsi" w:hAnsiTheme="minorHAnsi"/>
          <w:b/>
          <w:bCs/>
          <w:i/>
          <w:iCs/>
          <w:sz w:val="22"/>
          <w:szCs w:val="22"/>
          <w:u w:val="single"/>
        </w:rPr>
        <w:t>não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  <w:u w:val="single"/>
        </w:rPr>
        <w:t xml:space="preserve"> foram reclamados pelas supostas vítimas e </w:t>
      </w:r>
      <w:r>
        <w:rPr>
          <w:rFonts w:cs="Calibri" w:ascii="Calibri" w:hAnsi="Calibri" w:asciiTheme="minorHAnsi" w:cstheme="minorHAnsi" w:hAnsiTheme="minorHAnsi"/>
          <w:b/>
          <w:bCs/>
          <w:i/>
          <w:iCs/>
          <w:sz w:val="22"/>
          <w:szCs w:val="22"/>
          <w:u w:val="single"/>
        </w:rPr>
        <w:t xml:space="preserve">não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  <w:u w:val="single"/>
        </w:rPr>
        <w:t>contenham elementos que os vinculem diretamente a qualquer procedimento judicial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, bem como solicitará às Delegacias de Polícia a relação de todos os bens apreendidos ou custodiados que se encontram em suas dependências nas condições mencionadas parágrafos 1º, II, 2º e 3º do artigo anterior.</w:t>
      </w:r>
    </w:p>
    <w:p>
      <w:pPr>
        <w:pStyle w:val="NormalWeb"/>
        <w:spacing w:beforeAutospacing="0" w:before="0" w:afterAutospacing="0" w:after="0"/>
        <w:ind w:left="2268"/>
        <w:jc w:val="both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cstheme="minorHAnsi" w:ascii="Calibri" w:hAnsi="Calibri"/>
          <w:i/>
          <w:iCs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2268"/>
        <w:jc w:val="both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i/>
          <w:iCs/>
          <w:sz w:val="22"/>
          <w:szCs w:val="22"/>
        </w:rPr>
        <w:t xml:space="preserve">§ 1º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Realizado o levantamento dos bens, os(as) Diretores(as) dos Fóruns deverão confeccionar e disponibilizar a lista de bens para consulta em campo próprio no endereço eletrônico do Tribunal de Justiça do Estado do Piauí.</w:t>
      </w:r>
    </w:p>
    <w:p>
      <w:pPr>
        <w:pStyle w:val="NormalWeb"/>
        <w:spacing w:beforeAutospacing="0" w:before="0" w:afterAutospacing="0" w:after="0"/>
        <w:ind w:left="2268"/>
        <w:jc w:val="both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cstheme="minorHAnsi" w:ascii="Calibri" w:hAnsi="Calibri"/>
          <w:i/>
          <w:iCs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2268"/>
        <w:jc w:val="both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i/>
          <w:iCs/>
          <w:sz w:val="22"/>
          <w:szCs w:val="22"/>
        </w:rPr>
        <w:t>§ 2º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 xml:space="preserve"> O edital de notificação com a relação dos bens e suas características identificadoras, instando seus eventuais proprietários a se apresentarem para reclamá-los será publicado no Diário da Justiça eletrônico, conforme determina o art. 726, do CPC.</w:t>
      </w:r>
    </w:p>
    <w:p>
      <w:pPr>
        <w:pStyle w:val="NormalWeb"/>
        <w:spacing w:beforeAutospacing="0" w:before="0" w:afterAutospacing="0" w:after="0"/>
        <w:ind w:left="2268"/>
        <w:jc w:val="both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cstheme="minorHAnsi" w:ascii="Calibri" w:hAnsi="Calibri"/>
          <w:i/>
          <w:iCs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2268"/>
        <w:jc w:val="both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i/>
          <w:iCs/>
          <w:sz w:val="22"/>
          <w:szCs w:val="22"/>
        </w:rPr>
        <w:t>§ 3°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  <w:u w:val="single"/>
        </w:rPr>
        <w:t>Em se apresentando quem se diga legítimo(a) proprietário(a) do bem apreendido, adotar-se-á o procedimento previsto no art. 120 e parágrafos, do CPP.</w:t>
      </w:r>
    </w:p>
    <w:p>
      <w:pPr>
        <w:pStyle w:val="NormalWeb"/>
        <w:spacing w:lineRule="auto" w:line="360" w:beforeAutospacing="0" w:before="0" w:afterAutospacing="0" w:after="0"/>
        <w:ind w:firstLine="141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spacing w:lineRule="auto" w:line="360" w:beforeAutospacing="0" w:before="0" w:afterAutospacing="0" w:after="0"/>
        <w:ind w:firstLine="1418"/>
        <w:jc w:val="both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Uma vez comprovada a efetiva propriedade, caberá a devida restituição do bem ao reclamante. De outra via, na ausência de pretensos titulares ou na falta de comprovação inequívoca da propriedade, é mister seja declarado o abandono e o consequente perdimento do bem, ao qual podem ser conferidas as seguintes destinações, a depender do valor econômico atribuído:</w:t>
      </w:r>
    </w:p>
    <w:p>
      <w:pPr>
        <w:pStyle w:val="NormalWeb"/>
        <w:spacing w:beforeAutospacing="0" w:before="0" w:afterAutospacing="0" w:after="0"/>
        <w:ind w:left="1701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2268"/>
        <w:jc w:val="both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i/>
          <w:iCs/>
          <w:sz w:val="22"/>
          <w:szCs w:val="22"/>
        </w:rPr>
        <w:t xml:space="preserve">Art. 338º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(…)</w:t>
      </w:r>
    </w:p>
    <w:p>
      <w:pPr>
        <w:pStyle w:val="NormalWeb"/>
        <w:spacing w:beforeAutospacing="0" w:before="0" w:afterAutospacing="0" w:after="0"/>
        <w:ind w:left="2268"/>
        <w:jc w:val="both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cstheme="minorHAnsi" w:ascii="Calibri" w:hAnsi="Calibri"/>
          <w:i/>
          <w:iCs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2268"/>
        <w:jc w:val="both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i/>
          <w:iCs/>
          <w:sz w:val="22"/>
          <w:szCs w:val="22"/>
        </w:rPr>
        <w:t>§ 4°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 xml:space="preserve"> Se, no prazo concedido, não houver quem se apresente para reclamar a titularidade do bem ou não consiga comprová-la, ouvido(a) o(a) representante do Ministério Público designado(a) para tanto, será declarado seu abandono e consequente perdimento, dando-se a destinação final, em conformidade com cada caso:</w:t>
      </w:r>
    </w:p>
    <w:p>
      <w:pPr>
        <w:pStyle w:val="NormalWeb"/>
        <w:spacing w:beforeAutospacing="0" w:before="0" w:afterAutospacing="0" w:after="0"/>
        <w:ind w:left="2268"/>
        <w:jc w:val="both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cstheme="minorHAnsi" w:ascii="Calibri" w:hAnsi="Calibri"/>
          <w:i/>
          <w:iCs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2268"/>
        <w:jc w:val="both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i/>
          <w:iCs/>
          <w:sz w:val="22"/>
          <w:szCs w:val="22"/>
        </w:rPr>
        <w:t>I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 xml:space="preserve"> - para destruição, em se cuidando de bens/objetos que não tenham utilidade ou nenhum valor econômico ou, ainda que tenha valor econômico, seja perigoso para uso, cause indiscutível prejuízo à vítima ou em outras hipóteses em que o bem não possa ou não seja indicado que retorne à circulação; observando-se, no que for cabível, a legislação ambiental pertinente, realizando a avaliação pelo(a) Oficial(a) de Justiça e Avaliador(a), caso necessário;</w:t>
      </w:r>
    </w:p>
    <w:p>
      <w:pPr>
        <w:pStyle w:val="NormalWeb"/>
        <w:spacing w:beforeAutospacing="0" w:before="0" w:afterAutospacing="0" w:after="0"/>
        <w:ind w:left="2268"/>
        <w:jc w:val="both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cstheme="minorHAnsi" w:ascii="Calibri" w:hAnsi="Calibri"/>
          <w:i/>
          <w:iCs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2268"/>
        <w:jc w:val="both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i/>
          <w:iCs/>
          <w:sz w:val="22"/>
          <w:szCs w:val="22"/>
        </w:rPr>
        <w:t>II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 xml:space="preserve"> - para venda em leilão judicial eletrônico, através de leiloeiro(a) oficial cadastrado(a) pelo Tribunal de Justiça, dos bens que tenham valor comercial acima de 2 (dois) salários-mínimos, observando-se as disposições constantes neste Código;</w:t>
      </w:r>
    </w:p>
    <w:p>
      <w:pPr>
        <w:pStyle w:val="NormalWeb"/>
        <w:spacing w:beforeAutospacing="0" w:before="0" w:afterAutospacing="0" w:after="0"/>
        <w:ind w:left="2268"/>
        <w:jc w:val="both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cstheme="minorHAnsi" w:ascii="Calibri" w:hAnsi="Calibri"/>
          <w:i/>
          <w:iCs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2268"/>
        <w:jc w:val="both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i/>
          <w:iCs/>
          <w:sz w:val="22"/>
          <w:szCs w:val="22"/>
        </w:rPr>
        <w:t xml:space="preserve">III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- os bens que não possuam condições de uso poderão ser vendidos como sucata, desde que certificada a imprestabilidade por Oficial(a) de Justiça e Avaliador(a), ou, ainda, pelo(a) leiloeiro(a) oficial, ouvindo-se em todos os casos o(a) representante do Ministério Público; e</w:t>
      </w:r>
    </w:p>
    <w:p>
      <w:pPr>
        <w:pStyle w:val="NormalWeb"/>
        <w:spacing w:beforeAutospacing="0" w:before="0" w:afterAutospacing="0" w:after="0"/>
        <w:ind w:left="2268"/>
        <w:jc w:val="both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cstheme="minorHAnsi" w:ascii="Calibri" w:hAnsi="Calibri"/>
          <w:i/>
          <w:iCs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2268"/>
        <w:jc w:val="both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i/>
          <w:iCs/>
          <w:sz w:val="22"/>
          <w:szCs w:val="22"/>
        </w:rPr>
        <w:t xml:space="preserve">IV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- para doação às entidades públicas ou privadas sem fins lucrativos, com finalidade social e/ou filantrópica cadastradas pela Corregedoria, nas hipóteses em que o custo do bem for inferior a 2 (dois) salários-mínimos ou ainda que o custo da alienação superar o valor do bem, de acordo com avaliação realizada por Oficiais de Justiça e Avaliadores(as), e, caso necessário, ouvindo-se o leiloeiro oficial.</w:t>
      </w:r>
    </w:p>
    <w:p>
      <w:pPr>
        <w:pStyle w:val="NormalWeb"/>
        <w:spacing w:lineRule="auto" w:line="360" w:beforeAutospacing="0" w:before="0" w:afterAutospacing="0" w:after="0"/>
        <w:ind w:left="1701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BodyText"/>
        <w:spacing w:lineRule="auto" w:line="360" w:before="0" w:after="0"/>
        <w:ind w:firstLine="1418"/>
        <w:jc w:val="both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Nesse sentido, caso não seja possível comprovar a propriedade dos bens, não pode ser declarada a restituição do bem, conforme julgado recente do TJ-PI:</w:t>
      </w:r>
    </w:p>
    <w:p>
      <w:pPr>
        <w:pStyle w:val="BodyText"/>
        <w:spacing w:lineRule="auto" w:line="360" w:before="0" w:after="0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auto" w:line="360" w:before="0" w:after="0"/>
        <w:ind w:hanging="0" w:left="2268"/>
        <w:jc w:val="both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0000071-49.2020.8.18.0058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. PROCESSUAL PENAL. APELAÇÃO CRIMINAL.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RESTITUIÇÃO DE BENS APREENDIDOS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. ARTIGO 120 DO CÓDIGO DE PROCESSO PENAL.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AUSÊNCIA DE COMPROVAÇÃO DE PROPRIEDADE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. FALTA DE LEGITIMIDADE PARA RECLAMAR A DEVOLUÇÃO DO BEM. RECURSO CONHECIDO E IMPROVIDO. 1. O artigo 120 do Código de Processo Penal preleciona que, in verbis: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“Art. 120. A restituição, quando cabível, poderá ser ordenada pela autoridade policial ou juiz, mediante termo nos autos, desde que não exista dúvida quanto ao direito do reclamante”.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2. </w:t>
      </w: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>No presente caso, não restou devidamente comprovado que os Requerentes são os legítimos proprietários dos bens apreendidos, razão pela qual não merece reforma a sentença proferida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 3. Recurso conhecido e improvido. (Apelação Criminal – 0000071-49.2020.8.18.0058 – 1ª CÂMARA ESPECIALIZADA CRIMINAL – Relator: Sebastião Ribeiro Martins – Julgamento: 23/06/2023)</w:t>
      </w:r>
    </w:p>
    <w:p>
      <w:pPr>
        <w:pStyle w:val="BodyText"/>
        <w:spacing w:lineRule="auto" w:line="360" w:before="0" w:after="0"/>
        <w:ind w:hanging="0" w:left="22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BodyText"/>
        <w:spacing w:lineRule="auto" w:line="360" w:before="0" w:after="0"/>
        <w:ind w:firstLine="1418"/>
        <w:jc w:val="both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Nesse contexto, considerando que o Conselho Nacional do Ministério Público (CNMP) expediu a Recomendação nº 23/2014, orientando os Membros do Ministério Público com atribuição criminal a requererem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“(1) a alienação cautelar dos bens apreendidos, na forma da legislação respectiva, sempre que estes estejam sujeitos a grande depreciação (perda do valor ou da função); ou a (2) pena de perdimento pelo decurso do tempo, com (3) o devido depósito das importâncias em dinheiro levantadas com a alienação antecipada em instituição bancária devidamente autorizada a realizar custódias judiciais”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, este Membro Ministerial compreende pela necessidade de abertura de procedimento administrativo para promover o levantamento dos bens localizados no depósito da delegacia do _º distrito policial de ____-PI, a fim de que lhes sejam dadas as destinações adequadas.</w:t>
      </w:r>
    </w:p>
    <w:p>
      <w:pPr>
        <w:pStyle w:val="BodyText"/>
        <w:spacing w:lineRule="auto" w:line="360" w:before="0" w:after="0"/>
        <w:ind w:firstLine="2268" w:left="284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lineRule="auto" w:line="360" w:before="0" w:after="0"/>
        <w:jc w:val="both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III – Da Conclusão </w:t>
      </w:r>
    </w:p>
    <w:p>
      <w:pPr>
        <w:pStyle w:val="Padro"/>
        <w:spacing w:lineRule="auto" w:line="360" w:before="0" w:after="0"/>
        <w:ind w:firstLine="141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lineRule="auto" w:line="360" w:before="0" w:after="0"/>
        <w:ind w:firstLine="141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lineRule="auto" w:line="360" w:before="0" w:after="0"/>
        <w:ind w:firstLine="141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lineRule="auto" w:line="360" w:before="0" w:after="0"/>
        <w:ind w:firstLine="1418"/>
        <w:jc w:val="both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Desta feita, o Ministério Público do Estado do Piauí requer a V. Excelência:</w:t>
      </w:r>
    </w:p>
    <w:p>
      <w:pPr>
        <w:pStyle w:val="Padro"/>
        <w:spacing w:lineRule="auto" w:line="360" w:before="0" w:after="0"/>
        <w:ind w:firstLine="141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numPr>
          <w:ilvl w:val="0"/>
          <w:numId w:val="1"/>
        </w:numPr>
        <w:spacing w:lineRule="auto" w:line="360" w:before="0" w:after="0"/>
        <w:ind w:hanging="0" w:left="0"/>
        <w:jc w:val="both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 instauração de Procedimento Administrativo específico para levantar e identificar todos os bens apreendidos que não possuem ou perderam a vinculação com procedimentos e processos, com o objetivo de dar-lhes destinação definitiva, nos termos do art. 337º do Provimento CGJ nº 151/2023;</w:t>
      </w:r>
    </w:p>
    <w:p>
      <w:pPr>
        <w:pStyle w:val="Padro"/>
        <w:spacing w:lineRule="auto" w:line="360" w:before="0" w:after="0"/>
        <w:ind w:firstLine="141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numPr>
          <w:ilvl w:val="0"/>
          <w:numId w:val="1"/>
        </w:numPr>
        <w:spacing w:lineRule="auto" w:line="360" w:before="0" w:after="0"/>
        <w:ind w:hanging="0" w:left="0"/>
        <w:jc w:val="both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Uma vez instaurado o </w:t>
      </w:r>
      <w:bookmarkStart w:id="0" w:name="_GoBack"/>
      <w:bookmarkEnd w:id="0"/>
      <w:r>
        <w:rPr>
          <w:rFonts w:cs="Calibri" w:ascii="Calibri" w:hAnsi="Calibri" w:asciiTheme="minorHAnsi" w:cstheme="minorHAnsi" w:hAnsiTheme="minorHAnsi"/>
          <w:sz w:val="22"/>
          <w:szCs w:val="22"/>
        </w:rPr>
        <w:t>Procedimento Administrativo, seja dada ampla publicidade à relação desses bens e de suas características, oportunizando a sua reclamação pelos eventuais proprietários, em prazo estabelecido, bem como a sua efetiva restituição, quando viável, na forma do art. 120 do Código de Processo Penal, de tudo sendo ouvido previamente o Ministério Público;</w:t>
      </w:r>
    </w:p>
    <w:p>
      <w:pPr>
        <w:pStyle w:val="ListParagraph"/>
        <w:ind w:left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numPr>
          <w:ilvl w:val="0"/>
          <w:numId w:val="1"/>
        </w:numPr>
        <w:spacing w:lineRule="auto" w:line="360" w:before="0" w:after="0"/>
        <w:ind w:hanging="0" w:left="0"/>
        <w:jc w:val="both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Não existindo proprietários ou sendo inviável a restituição, seja decretado o perdimento dos bens, procedendo-se a destinação definitiva em conformidade com a avaliação realizada por Oficial de Justiça, seja para alienação, doação (princípio da economicidade) ou destruição (inservível para o uso), de tudo sendo ouvido previamente o Ministério Público.</w:t>
      </w:r>
    </w:p>
    <w:p>
      <w:pPr>
        <w:pStyle w:val="ListParagrap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lineRule="auto" w:line="360" w:before="0" w:after="0"/>
        <w:ind w:firstLine="1418"/>
        <w:jc w:val="both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Nestes termos, pede e espera deferimento.</w:t>
      </w:r>
    </w:p>
    <w:p>
      <w:pPr>
        <w:pStyle w:val="BodyText"/>
        <w:spacing w:lineRule="auto" w:line="360" w:before="0" w:after="0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BodyText"/>
        <w:spacing w:lineRule="auto" w:line="360" w:before="0" w:after="0"/>
        <w:jc w:val="center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____________-PI, </w:t>
      </w:r>
      <w:r>
        <w:rPr>
          <w:rFonts w:cs="Calibri" w:ascii="Calibri" w:hAnsi="Calibri"/>
          <w:sz w:val="22"/>
          <w:szCs w:val="22"/>
        </w:rPr>
        <w:fldChar w:fldCharType="begin"/>
      </w:r>
      <w:r>
        <w:rPr>
          <w:sz w:val="22"/>
          <w:szCs w:val="22"/>
          <w:rFonts w:cs="Calibri" w:ascii="Calibri" w:hAnsi="Calibri"/>
        </w:rPr>
        <w:instrText xml:space="preserve"> DATE \@"d' de 'MMMM' de 'yyyy" </w:instrText>
      </w:r>
      <w:r>
        <w:rPr>
          <w:sz w:val="22"/>
          <w:szCs w:val="22"/>
          <w:rFonts w:cs="Calibri" w:ascii="Calibri" w:hAnsi="Calibri"/>
        </w:rPr>
        <w:fldChar w:fldCharType="separate"/>
      </w:r>
      <w:r>
        <w:rPr>
          <w:sz w:val="22"/>
          <w:szCs w:val="22"/>
          <w:rFonts w:cs="Calibri" w:ascii="Calibri" w:hAnsi="Calibri"/>
        </w:rPr>
        <w:t>15 de fevereiro de 2024</w:t>
      </w:r>
      <w:r>
        <w:rPr>
          <w:sz w:val="22"/>
          <w:szCs w:val="22"/>
          <w:rFonts w:cs="Calibri" w:ascii="Calibri" w:hAnsi="Calibri"/>
        </w:rPr>
        <w:fldChar w:fldCharType="end"/>
      </w:r>
      <w:r>
        <w:rPr>
          <w:sz w:val="22"/>
          <w:szCs w:val="22"/>
        </w:rPr>
        <w:commentReference w:id="3"/>
      </w:r>
    </w:p>
    <w:p>
      <w:pPr>
        <w:pStyle w:val="BodyText"/>
        <w:spacing w:lineRule="auto" w:line="360" w:before="0" w:after="0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BodyText"/>
        <w:spacing w:lineRule="auto" w:line="360" w:before="0" w:after="0"/>
        <w:jc w:val="center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______________________________________________________</w:t>
      </w:r>
    </w:p>
    <w:p>
      <w:pPr>
        <w:pStyle w:val="BodyText"/>
        <w:spacing w:lineRule="auto" w:line="360" w:before="0" w:after="0"/>
        <w:jc w:val="center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PROMOTOR(A) DE JUSTIÇA</w:t>
      </w:r>
    </w:p>
    <w:p>
      <w:pPr>
        <w:pStyle w:val="Normal"/>
        <w:spacing w:before="0" w:after="160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1701" w:right="1134" w:gutter="0" w:header="0" w:top="1701" w:footer="0" w:bottom="1134"/>
      <w:pgNumType w:fmt="decimal"/>
      <w:formProt w:val="false"/>
      <w:textDirection w:val="lrTb"/>
      <w:docGrid w:type="default" w:linePitch="600" w:charSpace="36864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CAOCRIM" w:date="2024-01-18T10:12:39Z" w:initials="">
    <w:p>
      <w:pPr>
        <w:overflowPunct w:val="false"/>
        <w:bidi w:val="0"/>
        <w:spacing w:before="0" w:after="0" w:lineRule="auto" w:line="240"/>
        <w:ind w:left="0" w:right="0" w:hanging="0"/>
        <w:jc w:val="both"/>
        <w:rPr/>
      </w:pPr>
      <w:r>
        <w:rPr>
          <w:rFonts w:ascii="Calibri Light" w:hAnsi="Calibri Light" w:eastAsia="SimSun" w:cs="Mangal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shd w:fill="auto" w:val="clear"/>
          <w:vertAlign w:val="baseline"/>
          <w:em w:val="none"/>
          <w:lang w:val="pt-BR" w:eastAsia="zh-CN" w:bidi="hi-IN"/>
        </w:rPr>
        <w:t xml:space="preserve">Inserir o </w:t>
      </w:r>
      <w:r>
        <w:rPr>
          <w:rFonts w:ascii="Calibri Light" w:hAnsi="Calibri Light" w:eastAsia="SimSun" w:cs="Mangal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shd w:fill="auto" w:val="clear"/>
          <w:vertAlign w:val="baseline"/>
          <w:em w:val="none"/>
          <w:lang w:val="pt-BR" w:eastAsia="zh-CN" w:bidi="hi-IN"/>
        </w:rPr>
        <w:t>nome da</w:t>
      </w:r>
      <w:r>
        <w:rPr>
          <w:rFonts w:ascii="Calibri Light" w:hAnsi="Calibri Light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shd w:fill="auto" w:val="clear"/>
          <w:vertAlign w:val="baseline"/>
          <w:em w:val="none"/>
          <w:lang w:val="pt-BR" w:eastAsia="zh-CN" w:bidi="hi-IN"/>
        </w:rPr>
        <w:t xml:space="preserve"> </w:t>
      </w:r>
      <w:r>
        <w:rPr>
          <w:rFonts w:ascii="Calibri Light" w:hAnsi="Calibri Light" w:eastAsia="SimSun" w:cs="Mangal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shd w:fill="auto" w:val="clear"/>
          <w:vertAlign w:val="baseline"/>
          <w:em w:val="none"/>
          <w:lang w:val="pt-BR" w:eastAsia="zh-CN" w:bidi="hi-IN"/>
        </w:rPr>
        <w:t>Comarca.</w:t>
      </w:r>
    </w:p>
  </w:comment>
  <w:comment w:id="1" w:author="CAOCRIM" w:date="2024-01-18T10:13:01Z" w:initials="">
    <w:p>
      <w:pPr>
        <w:overflowPunct w:val="false"/>
        <w:bidi w:val="0"/>
        <w:spacing w:before="0" w:after="0" w:lineRule="auto" w:line="240"/>
        <w:ind w:left="0" w:right="0" w:hanging="0"/>
        <w:jc w:val="left"/>
        <w:rPr/>
      </w:pPr>
      <w:r>
        <w:rPr>
          <w:rFonts w:ascii="Calibri Light" w:hAnsi="Calibri Light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shd w:fill="auto" w:val="clear"/>
          <w:vertAlign w:val="baseline"/>
          <w:em w:val="none"/>
          <w:lang w:val="pt-BR" w:eastAsia="zh-CN" w:bidi="hi-IN"/>
        </w:rPr>
        <w:t xml:space="preserve">Inserir o nome da </w:t>
      </w:r>
      <w:r>
        <w:rPr>
          <w:rFonts w:ascii="Calibri Light" w:hAnsi="Calibri Light" w:eastAsia="SimSun" w:cs="Mangal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shd w:fill="auto" w:val="clear"/>
          <w:vertAlign w:val="baseline"/>
          <w:em w:val="none"/>
          <w:lang w:val="pt-BR" w:eastAsia="zh-CN" w:bidi="hi-IN"/>
        </w:rPr>
        <w:t>COMARCA</w:t>
      </w:r>
      <w:r>
        <w:rPr>
          <w:rFonts w:ascii="Calibri Light" w:hAnsi="Calibri Light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shd w:fill="auto" w:val="clear"/>
          <w:vertAlign w:val="baseline"/>
          <w:em w:val="none"/>
          <w:lang w:val="pt-BR" w:eastAsia="zh-CN" w:bidi="hi-IN"/>
        </w:rPr>
        <w:t>.</w:t>
      </w:r>
    </w:p>
  </w:comment>
  <w:comment w:id="2" w:author="CAOCRIM" w:date="2024-01-19T12:24:05Z" w:initials="CAOCRIM">
    <w:p>
      <w:pPr>
        <w:overflowPunct w:val="false"/>
        <w:bidi w:val="0"/>
        <w:spacing w:before="0" w:after="0" w:lineRule="auto" w:line="240"/>
        <w:ind w:left="0" w:right="0" w:hanging="0"/>
        <w:jc w:val="left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Inserir a </w:t>
      </w:r>
      <w:r>
        <w:rPr>
          <w:rFonts w:ascii="Calibri" w:hAnsi="Calibri" w:eastAsia="Calibri" w:cs="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data </w:t>
      </w: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e a</w:t>
      </w:r>
      <w:r>
        <w:rPr>
          <w:rFonts w:ascii="Calibri" w:hAnsi="Calibri" w:eastAsia="Calibri" w:cs="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 hora</w:t>
      </w: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.</w:t>
      </w:r>
    </w:p>
  </w:comment>
  <w:comment w:id="3" w:author="CAOCRIM" w:date="2024-01-22T09:59:34Z" w:initials="CAOCRIM">
    <w:p>
      <w:pPr>
        <w:overflowPunct w:val="true"/>
        <w:bidi w:val="0"/>
        <w:spacing w:before="0" w:after="0" w:lineRule="auto" w:line="240"/>
        <w:ind w:hanging="0"/>
        <w:jc w:val="left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Data automática.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f0af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qFormat/>
    <w:rsid w:val="00df0afd"/>
    <w:rPr>
      <w:rFonts w:ascii="Times New Roman" w:hAnsi="Times New Roman" w:eastAsia="Times New Roman" w:cs="Times New Roman"/>
      <w:color w:val="00000A"/>
      <w:sz w:val="28"/>
      <w:szCs w:val="24"/>
      <w:lang w:eastAsia="pt-BR"/>
    </w:rPr>
  </w:style>
  <w:style w:type="character" w:styleId="CabealhoChar" w:customStyle="1">
    <w:name w:val="Cabeçalho Char"/>
    <w:basedOn w:val="DefaultParagraphFont"/>
    <w:qFormat/>
    <w:rsid w:val="00df0afd"/>
    <w:rPr>
      <w:rFonts w:ascii="Times New Roman" w:hAnsi="Times New Roman" w:eastAsia="Times New Roman" w:cs="Times New Roman"/>
      <w:color w:val="00000A"/>
      <w:sz w:val="24"/>
      <w:szCs w:val="24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df0afd"/>
    <w:rPr>
      <w:rFonts w:ascii="Times New Roman" w:hAnsi="Times New Roman" w:eastAsia="Times New Roman" w:cs="Times New Roman"/>
      <w:color w:val="00000A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unhideWhenUsed/>
    <w:rsid w:val="00df0afd"/>
    <w:rPr>
      <w:color w:themeColor="hyperlink" w:val="0563C1"/>
      <w:u w:val="single"/>
    </w:rPr>
  </w:style>
  <w:style w:type="character" w:styleId="Strong">
    <w:name w:val="Strong"/>
    <w:basedOn w:val="DefaultParagraphFont"/>
    <w:uiPriority w:val="22"/>
    <w:qFormat/>
    <w:rsid w:val="00df0afd"/>
    <w:rPr>
      <w:b/>
      <w:bCs/>
    </w:rPr>
  </w:style>
  <w:style w:type="character" w:styleId="Firstementa" w:customStyle="1">
    <w:name w:val="firstementa"/>
    <w:basedOn w:val="DefaultParagraphFont"/>
    <w:qFormat/>
    <w:rsid w:val="00df0afd"/>
    <w:rPr/>
  </w:style>
  <w:style w:type="character" w:styleId="Emphasis">
    <w:name w:val="Emphasis"/>
    <w:basedOn w:val="DefaultParagraphFont"/>
    <w:uiPriority w:val="20"/>
    <w:qFormat/>
    <w:rsid w:val="00df0afd"/>
    <w:rPr>
      <w:i/>
      <w:iCs/>
    </w:rPr>
  </w:style>
  <w:style w:type="character" w:styleId="Hidden-text" w:customStyle="1">
    <w:name w:val="hidden-text"/>
    <w:basedOn w:val="DefaultParagraphFont"/>
    <w:qFormat/>
    <w:rsid w:val="00df0afd"/>
    <w:rPr/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df0afd"/>
    <w:rPr>
      <w:rFonts w:eastAsia="" w:eastAsiaTheme="minorEastAsia"/>
      <w:sz w:val="20"/>
      <w:szCs w:val="20"/>
      <w:lang w:eastAsia="pt-BR"/>
    </w:rPr>
  </w:style>
  <w:style w:type="character" w:styleId="Caracteresdenotaderodap">
    <w:name w:val="Caracteres de nota de rodapé"/>
    <w:uiPriority w:val="99"/>
    <w:semiHidden/>
    <w:unhideWhenUsed/>
    <w:qFormat/>
    <w:rsid w:val="00df0afd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Padro"/>
    <w:link w:val="CorpodetextoChar"/>
    <w:rsid w:val="00df0afd"/>
    <w:pPr>
      <w:spacing w:before="0" w:after="120"/>
    </w:pPr>
    <w:rPr>
      <w:sz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Padro" w:customStyle="1">
    <w:name w:val="Padrão"/>
    <w:qFormat/>
    <w:rsid w:val="00df0afd"/>
    <w:pPr>
      <w:widowControl/>
      <w:tabs>
        <w:tab w:val="left" w:pos="708" w:leader="none"/>
      </w:tabs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Padro"/>
    <w:link w:val="CabealhoChar"/>
    <w:rsid w:val="00df0afd"/>
    <w:pPr>
      <w:suppressLineNumbers/>
      <w:tabs>
        <w:tab w:val="left" w:pos="708" w:leader="none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Padro"/>
    <w:link w:val="RodapChar"/>
    <w:uiPriority w:val="99"/>
    <w:rsid w:val="00df0afd"/>
    <w:pPr>
      <w:suppressLineNumbers/>
      <w:tabs>
        <w:tab w:val="left" w:pos="708" w:leader="none"/>
        <w:tab w:val="center" w:pos="4419" w:leader="none"/>
        <w:tab w:val="right" w:pos="8838" w:leader="none"/>
      </w:tabs>
    </w:pPr>
    <w:rPr/>
  </w:style>
  <w:style w:type="paragraph" w:styleId="ListParagraph">
    <w:name w:val="List Paragraph"/>
    <w:basedOn w:val="Padro"/>
    <w:qFormat/>
    <w:rsid w:val="00df0afd"/>
    <w:pPr>
      <w:ind w:left="720"/>
    </w:pPr>
    <w:rPr/>
  </w:style>
  <w:style w:type="paragraph" w:styleId="NormalWeb">
    <w:name w:val="Normal (Web)"/>
    <w:basedOn w:val="Normal"/>
    <w:uiPriority w:val="99"/>
    <w:unhideWhenUsed/>
    <w:qFormat/>
    <w:rsid w:val="00df0a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exto1" w:customStyle="1">
    <w:name w:val="texto1"/>
    <w:basedOn w:val="Normal"/>
    <w:qFormat/>
    <w:rsid w:val="00df0a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df0afd"/>
    <w:pPr>
      <w:spacing w:lineRule="auto" w:line="240" w:before="0" w:after="0"/>
    </w:pPr>
    <w:rPr>
      <w:sz w:val="20"/>
      <w:szCs w:val="20"/>
    </w:rPr>
  </w:style>
  <w:style w:type="paragraph" w:styleId="Texto2" w:customStyle="1">
    <w:name w:val="texto2"/>
    <w:basedOn w:val="Normal"/>
    <w:qFormat/>
    <w:rsid w:val="00df0a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4d48e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MPMGCabecalho">
    <w:name w:val="MPMG_Cabecalho"/>
    <w:basedOn w:val="Textbody"/>
    <w:next w:val="Standard1"/>
    <w:qFormat/>
    <w:pPr>
      <w:spacing w:lineRule="auto" w:line="240" w:before="113" w:after="0"/>
      <w:ind w:hanging="0"/>
    </w:pPr>
    <w:rPr>
      <w:rFonts w:ascii="Garamond" w:hAnsi="Garamond" w:cs="Arial"/>
      <w:b/>
      <w:bCs/>
      <w:sz w:val="26"/>
      <w:szCs w:val="26"/>
    </w:rPr>
  </w:style>
  <w:style w:type="paragraph" w:styleId="Standard1">
    <w:name w:val="Standard1"/>
    <w:qFormat/>
    <w:pPr>
      <w:keepNext w:val="false"/>
      <w:keepLines w:val="false"/>
      <w:pageBreakBefore w:val="false"/>
      <w:widowControl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comments" Target="comment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AAEA1D13368F49BD1E9AF557B622A1" ma:contentTypeVersion="16" ma:contentTypeDescription="Crie um novo documento." ma:contentTypeScope="" ma:versionID="0be9759706f96aaabd6e53466e75f12c">
  <xsd:schema xmlns:xsd="http://www.w3.org/2001/XMLSchema" xmlns:xs="http://www.w3.org/2001/XMLSchema" xmlns:p="http://schemas.microsoft.com/office/2006/metadata/properties" xmlns:ns2="5dfd12f6-325d-4b0a-87cf-4bbc7d4ef9cb" xmlns:ns3="578dea2c-9e03-4392-bdbc-4ea5ca3d5cc3" targetNamespace="http://schemas.microsoft.com/office/2006/metadata/properties" ma:root="true" ma:fieldsID="f7bebdedc092d38a5055edccc4dfd710" ns2:_="" ns3:_="">
    <xsd:import namespace="5dfd12f6-325d-4b0a-87cf-4bbc7d4ef9cb"/>
    <xsd:import namespace="578dea2c-9e03-4392-bdbc-4ea5ca3d5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d12f6-325d-4b0a-87cf-4bbc7d4e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eb132e5-4297-4b65-8413-9047d39a1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ea2c-9e03-4392-bdbc-4ea5ca3d5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de5c9d-f955-44ec-9e93-b34be2e95a64}" ma:internalName="TaxCatchAll" ma:showField="CatchAllData" ma:web="578dea2c-9e03-4392-bdbc-4ea5ca3d5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8dea2c-9e03-4392-bdbc-4ea5ca3d5cc3" xsi:nil="true"/>
    <lcf76f155ced4ddcb4097134ff3c332f xmlns="5dfd12f6-325d-4b0a-87cf-4bbc7d4ef9c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56E73-60F9-462F-B821-76830030A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d12f6-325d-4b0a-87cf-4bbc7d4ef9cb"/>
    <ds:schemaRef ds:uri="578dea2c-9e03-4392-bdbc-4ea5ca3d5c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77ED85-9C59-410C-8E8A-83AEDFF76CB2}">
  <ds:schemaRefs>
    <ds:schemaRef ds:uri="http://schemas.microsoft.com/office/2006/metadata/properties"/>
    <ds:schemaRef ds:uri="http://schemas.microsoft.com/office/infopath/2007/PartnerControls"/>
    <ds:schemaRef ds:uri="578dea2c-9e03-4392-bdbc-4ea5ca3d5cc3"/>
    <ds:schemaRef ds:uri="5dfd12f6-325d-4b0a-87cf-4bbc7d4ef9cb"/>
  </ds:schemaRefs>
</ds:datastoreItem>
</file>

<file path=customXml/itemProps3.xml><?xml version="1.0" encoding="utf-8"?>
<ds:datastoreItem xmlns:ds="http://schemas.openxmlformats.org/officeDocument/2006/customXml" ds:itemID="{389AD6A8-2D01-47B6-B8A5-AEE5BF5E31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Application>LibreOffice/7.6.2.1$Windows_X86_64 LibreOffice_project/56f7684011345957bbf33a7ee678afaf4d2ba333</Application>
  <AppVersion>15.0000</AppVersion>
  <Pages>5</Pages>
  <Words>1444</Words>
  <Characters>8261</Characters>
  <CharactersWithSpaces>9683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2019-12-11T12:25:00Z</dcterms:created>
  <dc:creator>MPPI</dc:creator>
  <dc:description/>
  <dc:language>pt-BR</dc:language>
  <cp:lastModifiedBy/>
  <dcterms:modified xsi:type="dcterms:W3CDTF">2024-02-15T11:08:40Z</dcterms:modified>
  <cp:revision>133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0x01010091AAEA1D13368F49BD1E9AF557B622A1</vt:lpwstr>
  </property>
  <property fmtid="{D5CDD505-2E9C-101B-9397-08002B2CF9AE}" pid="3" name="MediaServiceImageTags">
    <vt:lpwstr/>
  </property>
</Properties>
</file>