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</w:r>
    </w:p>
    <w:p>
      <w:pPr>
        <w:pStyle w:val="BodyText"/>
        <w:rPr>
          <w:rFonts w:ascii="Cambria" w:hAnsi="Cambria" w:cs="Arial"/>
          <w:b/>
          <w:bCs/>
          <w:sz w:val="24"/>
          <w:szCs w:val="24"/>
        </w:rPr>
      </w:pPr>
      <w:r>
        <w:rPr>
          <w:rFonts w:cs="Arial" w:ascii="Cambria" w:hAnsi="Cambria"/>
          <w:b/>
          <w:bCs/>
          <w:sz w:val="24"/>
          <w:szCs w:val="24"/>
        </w:rPr>
        <w:t xml:space="preserve">INQUÉRITO POLICIAL N.º: </w:t>
      </w:r>
    </w:p>
    <w:p>
      <w:pPr>
        <w:pStyle w:val="BodyTex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jc w:val="center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Cuida-se de inquisitório policial inaugurado com escopo de apurar autoria e materialidade de crime definido no artigo XXX do Código Eleitoral.</w:t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Examinando-se o caderno investigativo policial, constata-se a imperiosa necessidade de a Polícia Judiciária dar continuidade às diligências com o propósito de se conhecer as circunstâncias em torno da execução da apontada ilicitude, por isso mesmo a solicitação de dilação de prazo para conclusão do procedimento inquisitorial, nos termos do artigo 10, § 3º do Código de Processo Penal.</w:t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widowControl/>
        <w:tabs>
          <w:tab w:val="clear" w:pos="708"/>
          <w:tab w:val="left" w:pos="390" w:leader="none"/>
        </w:tabs>
        <w:suppressAutoHyphens w:val="true"/>
        <w:overflowPunct w:val="true"/>
        <w:bidi w:val="0"/>
        <w:spacing w:lineRule="auto" w:line="276" w:before="0" w:after="120"/>
        <w:ind w:firstLine="1701" w:left="0" w:right="0"/>
        <w:jc w:val="both"/>
        <w:rPr>
          <w:rFonts w:ascii="Cambria" w:hAnsi="Cambria" w:cs="Arial"/>
          <w:sz w:val="24"/>
          <w:szCs w:val="24"/>
        </w:rPr>
      </w:pP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 xml:space="preserve">Na certeza de que a Polícia Judiciária empreenderá maiores esforços para a completa elucidação da conduta criminosa indicada na investigação (dentre outras ações típicas), pronuncia-se o Ministério Pública pela concessão do prazo de noventa </w:t>
      </w:r>
      <w:r>
        <w:rPr>
          <w:rStyle w:val="Strong"/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 xml:space="preserve">(90) dias </w:t>
      </w: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>para conclusão e remessa do inquérito policial.</w:t>
      </w:r>
    </w:p>
    <w:p>
      <w:pPr>
        <w:pStyle w:val="BodyText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Local e data.</w:t>
      </w:r>
    </w:p>
    <w:p>
      <w:pPr>
        <w:pStyle w:val="BodyText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BodyText"/>
        <w:jc w:val="both"/>
        <w:rPr>
          <w:rStyle w:val="Strong"/>
          <w:rFonts w:ascii="Cambria" w:hAnsi="Cambria" w:eastAsia="SimSun;宋体" w:cs="Arial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</w:pPr>
      <w:r>
        <w:rPr>
          <w:rFonts w:eastAsia="SimSun;宋体" w:cs="Arial" w:ascii="Cambria" w:hAnsi="Cambri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</w:r>
    </w:p>
    <w:p>
      <w:pPr>
        <w:pStyle w:val="BodyText"/>
        <w:spacing w:lineRule="auto" w:line="360" w:before="0" w:after="120"/>
        <w:jc w:val="center"/>
        <w:rPr>
          <w:rFonts w:ascii="Cambria" w:hAnsi="Cambria"/>
          <w:color w:val="C9211E"/>
          <w:sz w:val="24"/>
          <w:szCs w:val="24"/>
        </w:rPr>
      </w:pPr>
      <w:r>
        <w:rPr>
          <w:rStyle w:val="Strong"/>
          <w:rFonts w:eastAsia="SimSun;宋体" w:cs="Arial" w:ascii="Cambria" w:hAnsi="Cambria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PT" w:eastAsia="zh-CN" w:bidi="ar-SA"/>
        </w:rPr>
        <w:t>Promotor(a) Eleitoral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D6A7D-1614-415A-B7E3-B024D4DD1BE1}"/>
</file>

<file path=customXml/itemProps2.xml><?xml version="1.0" encoding="utf-8"?>
<ds:datastoreItem xmlns:ds="http://schemas.openxmlformats.org/officeDocument/2006/customXml" ds:itemID="{52A3374D-33EA-44FF-BFA2-8B1E87A0C2B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LibreOffice/24.2.2.2$Windows_X86_64 LibreOffice_project/d56cc158d8a96260b836f100ef4b4ef25d6f1a01</Application>
  <AppVersion>15.0000</AppVersion>
  <Pages>1</Pages>
  <Words>141</Words>
  <Characters>838</Characters>
  <CharactersWithSpaces>976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2024-08-22T13:46:14Z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