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0" w:after="0"/>
        <w:jc w:val="center"/>
        <w:rPr>
          <w:rFonts w:ascii="Times New Roman" w:hAnsi="Times New Roman"/>
          <w:sz w:val="24"/>
          <w:szCs w:val="24"/>
        </w:rPr>
      </w:pPr>
      <w:r>
        <w:rPr>
          <w:rFonts w:ascii="Times New Roman" w:hAnsi="Times New Roman"/>
          <w:caps w:val="false"/>
          <w:smallCaps w:val="false"/>
          <w:strike w:val="false"/>
          <w:dstrike w:val="false"/>
          <w:color w:val="000000"/>
          <w:sz w:val="24"/>
          <w:szCs w:val="24"/>
          <w:u w:val="none"/>
        </w:rPr>
        <w:t>PROMOTORIA DE JUSTIÇA ELEITORAL COM ATUAÇÃO NA 135ª ZONA ELEITORAL</w:t>
        <w:tab/>
      </w:r>
    </w:p>
    <w:p>
      <w:pPr>
        <w:pStyle w:val="BodyText"/>
        <w:bidi w:val="0"/>
        <w:spacing w:lineRule="auto" w:line="288" w:before="0" w:after="0"/>
        <w:jc w:val="center"/>
        <w:rPr>
          <w:rFonts w:cs="Verdana"/>
          <w:b/>
          <w:i w:val="false"/>
          <w:i w:val="false"/>
          <w:caps w:val="false"/>
          <w:smallCaps w:val="false"/>
          <w:strike w:val="false"/>
          <w:dstrike w:val="false"/>
          <w:color w:val="000000"/>
          <w:u w:val="none"/>
        </w:rPr>
      </w:pPr>
      <w:r>
        <w:rPr>
          <w:rFonts w:cs="Verdana"/>
          <w:b/>
          <w:i w:val="false"/>
          <w:caps w:val="false"/>
          <w:smallCaps w:val="false"/>
          <w:strike w:val="false"/>
          <w:dstrike w:val="false"/>
          <w:color w:val="000000"/>
          <w:u w:val="none"/>
        </w:rPr>
      </w:r>
    </w:p>
    <w:p>
      <w:pPr>
        <w:pStyle w:val="BodyText"/>
        <w:bidi w:val="0"/>
        <w:spacing w:lineRule="auto" w:line="288" w:before="0" w:after="0"/>
        <w:jc w:val="center"/>
        <w:rPr>
          <w:rFonts w:cs="Verdana"/>
          <w:b/>
          <w:i w:val="false"/>
          <w:i w:val="false"/>
          <w:caps w:val="false"/>
          <w:smallCaps w:val="false"/>
          <w:strike w:val="false"/>
          <w:dstrike w:val="false"/>
          <w:color w:val="000000"/>
          <w:u w:val="none"/>
        </w:rPr>
      </w:pPr>
      <w:r>
        <w:rPr>
          <w:rFonts w:cs="Verdana"/>
          <w:b/>
          <w:i w:val="false"/>
          <w:caps w:val="false"/>
          <w:smallCaps w:val="false"/>
          <w:strike w:val="false"/>
          <w:dstrike w:val="false"/>
          <w:color w:val="000000"/>
          <w:u w:val="none"/>
        </w:rPr>
      </w:r>
    </w:p>
    <w:p>
      <w:pPr>
        <w:pStyle w:val="BodyText"/>
        <w:bidi w:val="0"/>
        <w:spacing w:lineRule="auto" w:line="288" w:before="0" w:after="0"/>
        <w:jc w:val="both"/>
        <w:rPr>
          <w:rFonts w:cs="Verdana"/>
          <w:b w:val="false"/>
          <w:bCs w:val="false"/>
          <w:i w:val="false"/>
          <w:i w:val="false"/>
          <w:caps w:val="false"/>
          <w:smallCaps w:val="false"/>
          <w:strike w:val="false"/>
          <w:dstrike w:val="false"/>
          <w:color w:val="000000"/>
          <w:u w:val="none"/>
        </w:rPr>
      </w:pPr>
      <w:r>
        <w:rPr>
          <w:rFonts w:cs="Verdana"/>
          <w:b w:val="false"/>
          <w:bCs w:val="false"/>
          <w:i w:val="false"/>
          <w:caps w:val="false"/>
          <w:smallCaps w:val="false"/>
          <w:strike w:val="false"/>
          <w:dstrike w:val="false"/>
          <w:color w:val="000000"/>
          <w:u w:val="none"/>
        </w:rPr>
        <w:t>PA: 02568.000.001/2024</w:t>
      </w:r>
    </w:p>
    <w:p>
      <w:pPr>
        <w:pStyle w:val="BodyText"/>
        <w:bidi w:val="0"/>
        <w:spacing w:lineRule="auto" w:line="288" w:before="0" w:after="0"/>
        <w:jc w:val="both"/>
        <w:rPr>
          <w:rFonts w:cs="Verdana"/>
          <w:b/>
          <w:i w:val="false"/>
          <w:i w:val="false"/>
          <w:caps w:val="false"/>
          <w:smallCaps w:val="false"/>
          <w:strike w:val="false"/>
          <w:dstrike w:val="false"/>
          <w:color w:val="000000"/>
          <w:u w:val="none"/>
        </w:rPr>
      </w:pPr>
      <w:r>
        <w:rPr>
          <w:rFonts w:cs="Verdana"/>
          <w:b/>
          <w:i w:val="false"/>
          <w:caps w:val="false"/>
          <w:smallCaps w:val="false"/>
          <w:strike w:val="false"/>
          <w:dstrike w:val="false"/>
          <w:color w:val="000000"/>
          <w:u w:val="none"/>
        </w:rPr>
      </w:r>
    </w:p>
    <w:p>
      <w:pPr>
        <w:pStyle w:val="BodyText"/>
        <w:bidi w:val="0"/>
        <w:spacing w:lineRule="auto" w:line="288" w:before="0" w:after="0"/>
        <w:jc w:val="both"/>
        <w:rPr>
          <w:rFonts w:cs="Verdana"/>
          <w:b/>
          <w:i w:val="false"/>
          <w:i w:val="false"/>
          <w:caps w:val="false"/>
          <w:smallCaps w:val="false"/>
          <w:strike w:val="false"/>
          <w:dstrike w:val="false"/>
          <w:color w:val="000000"/>
          <w:u w:val="none"/>
        </w:rPr>
      </w:pPr>
      <w:r>
        <w:rPr>
          <w:rFonts w:cs="Verdana"/>
          <w:b/>
          <w:i w:val="false"/>
          <w:caps w:val="false"/>
          <w:smallCaps w:val="false"/>
          <w:strike w:val="false"/>
          <w:dstrike w:val="false"/>
          <w:color w:val="000000"/>
          <w:u w:val="none"/>
        </w:rPr>
      </w:r>
    </w:p>
    <w:p>
      <w:pPr>
        <w:pStyle w:val="BodyText"/>
        <w:bidi w:val="0"/>
        <w:spacing w:lineRule="auto" w:line="288" w:before="0" w:after="0"/>
        <w:jc w:val="center"/>
        <w:rPr>
          <w:rFonts w:ascii="Times New Roman" w:hAnsi="Times New Roman"/>
          <w:sz w:val="24"/>
          <w:szCs w:val="24"/>
        </w:rPr>
      </w:pPr>
      <w:r>
        <w:rPr>
          <w:rFonts w:cs="Verdana" w:ascii="Times New Roman" w:hAnsi="Times New Roman"/>
          <w:b/>
          <w:i w:val="false"/>
          <w:caps w:val="false"/>
          <w:smallCaps w:val="false"/>
          <w:strike w:val="false"/>
          <w:dstrike w:val="false"/>
          <w:color w:val="000000"/>
          <w:sz w:val="24"/>
          <w:szCs w:val="24"/>
          <w:u w:val="none"/>
        </w:rPr>
        <w:t>RECOMENDAÇÃO Nº 04/2024</w:t>
      </w:r>
    </w:p>
    <w:p>
      <w:pPr>
        <w:pStyle w:val="BodyText"/>
        <w:bidi w:val="0"/>
        <w:spacing w:before="0" w:after="283"/>
        <w:jc w:val="start"/>
        <w:rPr>
          <w:rFonts w:ascii="Times New Roman" w:hAnsi="Times New Roman"/>
          <w:color w:val="000000"/>
          <w:sz w:val="24"/>
          <w:szCs w:val="24"/>
        </w:rPr>
      </w:pPr>
      <w:r>
        <w:rPr>
          <w:rFonts w:ascii="Times New Roman" w:hAnsi="Times New Roman"/>
          <w:sz w:val="24"/>
          <w:szCs w:val="24"/>
        </w:rPr>
      </w:r>
    </w:p>
    <w:p>
      <w:pPr>
        <w:pStyle w:val="BodyText"/>
        <w:bidi w:val="0"/>
        <w:spacing w:before="0" w:after="283"/>
        <w:jc w:val="start"/>
        <w:rPr>
          <w:rFonts w:ascii="Times New Roman" w:hAnsi="Times New Roman"/>
          <w:color w:val="000000"/>
          <w:sz w:val="24"/>
          <w:szCs w:val="24"/>
        </w:rPr>
      </w:pPr>
      <w:r>
        <w:rPr>
          <w:rFonts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sz w:val="24"/>
          <w:szCs w:val="24"/>
        </w:rPr>
        <w:t xml:space="preserve">O </w:t>
      </w:r>
      <w:r>
        <w:rPr>
          <w:rFonts w:cs="Garamond" w:ascii="Times New Roman" w:hAnsi="Times New Roman"/>
          <w:b/>
          <w:sz w:val="24"/>
          <w:szCs w:val="24"/>
        </w:rPr>
        <w:t>MINISTÉRIO PÚBLICO ELEITORAL</w:t>
      </w:r>
      <w:r>
        <w:rPr>
          <w:rFonts w:cs="Garamond" w:ascii="Times New Roman" w:hAnsi="Times New Roman"/>
          <w:sz w:val="24"/>
          <w:szCs w:val="24"/>
        </w:rPr>
        <w:t>, por intermédio de sua representante infra-assinada, com atuação na 135ª Zona Eleitoral, tendo por fundamento o art. 127, caput, da Constituição Federal; arts. 6º, XX, 78 e 79, da Lei Complementar nº 75/93; os arts. 27 parágrafo único, IV, e 80, da Lei Federal nº 8.625/93 e, ainda, o Código Eleitoral;</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se encontra em transcurso o denominado período eleitoral, inclusive com calendário preestabelecido;</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é cediço que, em eleições municipais, haja vista o interesse local diretamente envolvido, há intensa movimentação e acaloradas discussões entre os interessados, muitas vezes com provocação do Judiciário, Ministério Público Eleitoral e Polícias;</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não obstante a veracidade de algumas ocorrências, infelizmente é comum a manipulação de informações, desvio de finalidade (foco), contrainformação e vindicta dissimulada, por parte de “denunciantes”;</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o Ministério Público Eleitoral, através da gama de atribuições que possui e reconhecida capacidade para uso dos instrumentos jurídicos previstos pela legislação em vigor, é muitas vezes acionado, indevidamente, por pessoas inidôneas e má intencionadas, com o fito de causar tumulto às demais investigações, bem como tentar conspurcar a regularidade das atividades de adversários;</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nos municípios integrantes da 135ª Zona Eleitoral de Feira Nova, já se iniciaram discussões e “denúncias” das mais variadas ordens, tendo até o momento se constatado ser a maior parte produto de irresignações infundadas, de práticas não defesas em lei, ou sem suporte mínimo probatório de sua ocorrência, inclusive denotando o chamado “denuncismo eleitoral”;</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de forma expressa, </w:t>
      </w:r>
      <w:r>
        <w:rPr>
          <w:rFonts w:cs="Garamond" w:ascii="Times New Roman" w:hAnsi="Times New Roman"/>
          <w:b/>
          <w:bCs/>
          <w:sz w:val="24"/>
          <w:szCs w:val="24"/>
        </w:rPr>
        <w:t>as reclamações ou representações eleitorais podem ser feitas por qualquer partido político, coligação e candidato diretamente aos juízes eleitorais (Lei n.º 9.504/97, art. 96, caput e inciso I e Resolução TSE n.º 23.608/19);</w:t>
      </w:r>
    </w:p>
    <w:p>
      <w:pPr>
        <w:pStyle w:val="Normal"/>
        <w:ind w:firstLine="2127" w:end="0"/>
        <w:jc w:val="both"/>
        <w:rPr>
          <w:rFonts w:ascii="Times New Roman" w:hAnsi="Times New Roman" w:cs="Garamond"/>
          <w:b/>
          <w:bCs/>
          <w:sz w:val="24"/>
          <w:szCs w:val="24"/>
        </w:rPr>
      </w:pPr>
      <w:r>
        <w:rPr>
          <w:rFonts w:cs="Garamond" w:ascii="Times New Roman" w:hAnsi="Times New Roman"/>
          <w:b/>
          <w:bCs/>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de forma expressa, </w:t>
      </w:r>
      <w:r>
        <w:rPr>
          <w:rFonts w:cs="Garamond" w:ascii="Times New Roman" w:hAnsi="Times New Roman"/>
          <w:b/>
          <w:bCs/>
          <w:sz w:val="24"/>
          <w:szCs w:val="24"/>
        </w:rPr>
        <w:t>as Ações de Impugnação de Registro de Candidatura podem ser feitas por qualquer partido político, coligação e candidato diretamente aos juízes eleitorais (Lei n.º 64/90, art. 3º);</w:t>
      </w:r>
    </w:p>
    <w:p>
      <w:pPr>
        <w:pStyle w:val="Normal"/>
        <w:ind w:firstLine="2127" w:end="0"/>
        <w:jc w:val="both"/>
        <w:rPr>
          <w:rFonts w:ascii="Times New Roman" w:hAnsi="Times New Roman" w:cs="Garamond"/>
          <w:b/>
          <w:bCs/>
          <w:sz w:val="24"/>
          <w:szCs w:val="24"/>
        </w:rPr>
      </w:pPr>
      <w:r>
        <w:rPr>
          <w:rFonts w:cs="Garamond" w:ascii="Times New Roman" w:hAnsi="Times New Roman"/>
          <w:b/>
          <w:bCs/>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de forma expressa, </w:t>
      </w:r>
      <w:r>
        <w:rPr>
          <w:rFonts w:cs="Garamond" w:ascii="Times New Roman" w:hAnsi="Times New Roman"/>
          <w:b/>
          <w:bCs/>
          <w:sz w:val="24"/>
          <w:szCs w:val="24"/>
        </w:rPr>
        <w:t>qualquer partido político, coligação e candidato poderá representar à Justiça Eleitoral relatando fatos e indicando provas, indícios e circunstâncias e pedir abertura de investigação judicial (AIJE) para apurar uso indevido, desvio ou abuso do poder econômico ou do poder de autoridade, ou utilização indevida de veículos ou meios de comunicação social, em benefício de candidato ou de partido político (Lei n.º 64/90, art. 22);</w:t>
      </w:r>
    </w:p>
    <w:p>
      <w:pPr>
        <w:pStyle w:val="Normal"/>
        <w:ind w:firstLine="2127" w:end="0"/>
        <w:jc w:val="both"/>
        <w:rPr>
          <w:rFonts w:ascii="Times New Roman" w:hAnsi="Times New Roman" w:cs="Garamond"/>
          <w:b/>
          <w:bCs/>
          <w:sz w:val="24"/>
          <w:szCs w:val="24"/>
        </w:rPr>
      </w:pPr>
      <w:r>
        <w:rPr>
          <w:rFonts w:cs="Garamond" w:ascii="Times New Roman" w:hAnsi="Times New Roman"/>
          <w:b/>
          <w:bCs/>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 xml:space="preserve">Considerando, </w:t>
      </w:r>
      <w:r>
        <w:rPr>
          <w:rFonts w:cs="Garamond" w:ascii="Times New Roman" w:hAnsi="Times New Roman"/>
          <w:sz w:val="24"/>
          <w:szCs w:val="24"/>
        </w:rPr>
        <w:t>ainda, que petições de referidos legitimados, encaminhados ao Ministério Público Eleitoral, podem denotar falta de interesse, já que também devem vir instruídas com suporte probatório bastante e, assim, já deveriam ser remetidas pelos interessados diretamente ao Poder Judiciário;</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o Ministério Público Eleitoral, de qualquer forma, irá sempre se manifestar, em tais ações, representações ou reclamações, diretamente feitas em Juízo, e, assim, haverá sempre firme e escorreita atuação do </w:t>
      </w:r>
      <w:r>
        <w:rPr>
          <w:rFonts w:cs="Garamond" w:ascii="Times New Roman" w:hAnsi="Times New Roman"/>
          <w:i/>
          <w:iCs/>
          <w:sz w:val="24"/>
          <w:szCs w:val="24"/>
        </w:rPr>
        <w:t>Parquet</w:t>
      </w:r>
      <w:r>
        <w:rPr>
          <w:rFonts w:cs="Garamond" w:ascii="Times New Roman" w:hAnsi="Times New Roman"/>
          <w:sz w:val="24"/>
          <w:szCs w:val="24"/>
        </w:rPr>
        <w:t xml:space="preserve"> em todos os casos;</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em todos os casos de denúncias feitas perante o Ministério Público Eleitoral será detidamente analisado o caso, até mesmo para se observar se está ou não a haver manipulação de pessoas e informações, por terceiros de má-fé;</w:t>
      </w:r>
    </w:p>
    <w:p>
      <w:pPr>
        <w:pStyle w:val="Normal"/>
        <w:ind w:firstLine="2127" w:end="0"/>
        <w:jc w:val="both"/>
        <w:rPr>
          <w:rFonts w:ascii="Times New Roman" w:hAnsi="Times New Roman" w:cs="Garamond"/>
          <w:b/>
          <w:bCs/>
          <w:sz w:val="24"/>
          <w:szCs w:val="24"/>
        </w:rPr>
      </w:pPr>
      <w:r>
        <w:rPr>
          <w:rFonts w:cs="Garamond" w:ascii="Times New Roman" w:hAnsi="Times New Roman"/>
          <w:b/>
          <w:bCs/>
          <w:sz w:val="24"/>
          <w:szCs w:val="24"/>
        </w:rPr>
      </w:r>
    </w:p>
    <w:p>
      <w:pPr>
        <w:pStyle w:val="Normal"/>
        <w:ind w:firstLine="2127" w:end="0"/>
        <w:jc w:val="both"/>
        <w:rPr>
          <w:rFonts w:ascii="Times New Roman" w:hAnsi="Times New Roman"/>
          <w:sz w:val="24"/>
          <w:szCs w:val="24"/>
        </w:rPr>
      </w:pPr>
      <w:r>
        <w:rPr>
          <w:rFonts w:cs="Garamond" w:ascii="Times New Roman" w:hAnsi="Times New Roman"/>
          <w:b/>
          <w:bCs/>
          <w:sz w:val="24"/>
          <w:szCs w:val="24"/>
        </w:rPr>
        <w:t>Considerando</w:t>
      </w:r>
      <w:r>
        <w:rPr>
          <w:rFonts w:cs="Garamond" w:ascii="Times New Roman" w:hAnsi="Times New Roman"/>
          <w:sz w:val="24"/>
          <w:szCs w:val="24"/>
        </w:rPr>
        <w:t xml:space="preserve"> que a apresentação de informações falsas ou fatos inverídicos, em matéria eleitoral, pode configurar diversos </w:t>
      </w:r>
      <w:r>
        <w:rPr>
          <w:rFonts w:cs="Garamond" w:ascii="Times New Roman" w:hAnsi="Times New Roman"/>
          <w:b/>
          <w:bCs/>
          <w:sz w:val="24"/>
          <w:szCs w:val="24"/>
        </w:rPr>
        <w:t>CRIME</w:t>
      </w:r>
      <w:r>
        <w:rPr>
          <w:rFonts w:cs="Garamond" w:ascii="Times New Roman" w:hAnsi="Times New Roman"/>
          <w:sz w:val="24"/>
          <w:szCs w:val="24"/>
        </w:rPr>
        <w:t xml:space="preserve">, conforme o caso, e especialmente os crimes dos artigos, 324, 325, </w:t>
      </w:r>
      <w:r>
        <w:rPr>
          <w:rFonts w:cs="Garamond" w:ascii="Times New Roman" w:hAnsi="Times New Roman"/>
          <w:b/>
          <w:sz w:val="24"/>
          <w:szCs w:val="24"/>
        </w:rPr>
        <w:t>326-A</w:t>
      </w:r>
      <w:r>
        <w:rPr>
          <w:rFonts w:cs="Garamond" w:ascii="Times New Roman" w:hAnsi="Times New Roman"/>
          <w:sz w:val="24"/>
          <w:szCs w:val="24"/>
        </w:rPr>
        <w:t>, 348, 349, 350, 353 e 354, todos do Código Eleitoral.</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sz w:val="24"/>
          <w:szCs w:val="24"/>
        </w:rPr>
        <w:t>Considerando</w:t>
      </w:r>
      <w:r>
        <w:rPr>
          <w:rFonts w:cs="Garamond" w:ascii="Times New Roman" w:hAnsi="Times New Roman"/>
          <w:sz w:val="24"/>
          <w:szCs w:val="24"/>
        </w:rPr>
        <w:t xml:space="preserve"> que </w:t>
      </w:r>
      <w:r>
        <w:rPr>
          <w:rFonts w:cs="Garamond" w:ascii="Times New Roman" w:hAnsi="Times New Roman"/>
          <w:b w:val="false"/>
          <w:bCs w:val="false"/>
          <w:sz w:val="24"/>
          <w:szCs w:val="24"/>
        </w:rPr>
        <w:t>a Lei 13.834/19 criou um novo tipo penal no Código Eleitoral, prevendo a chamada “Denunciação Caluniosa Eleitoral” (art. 326-A, do Código Eleitoral), punindo todo aquele que der causa à instauração de investigação policial, de processo judicial, de investigação administrativa, de inquérito civil ou ação de improbidade administrativa, atribuindo a alguém a prática de crime ou ato infracional de que o sabe inocente, com finalidade eleitoral;</w:t>
      </w:r>
    </w:p>
    <w:p>
      <w:pPr>
        <w:pStyle w:val="Normal"/>
        <w:ind w:firstLine="2127" w:end="0"/>
        <w:jc w:val="both"/>
        <w:rPr>
          <w:rFonts w:ascii="Times New Roman" w:hAnsi="Times New Roman" w:cs="Garamond"/>
          <w:b/>
          <w:sz w:val="24"/>
          <w:szCs w:val="24"/>
        </w:rPr>
      </w:pPr>
      <w:r>
        <w:rPr>
          <w:rFonts w:cs="Garamond" w:ascii="Times New Roman" w:hAnsi="Times New Roman"/>
          <w:b/>
          <w:sz w:val="24"/>
          <w:szCs w:val="24"/>
        </w:rPr>
      </w:r>
    </w:p>
    <w:p>
      <w:pPr>
        <w:pStyle w:val="Normal"/>
        <w:ind w:firstLine="2127" w:end="0"/>
        <w:jc w:val="both"/>
        <w:rPr>
          <w:rFonts w:ascii="Times New Roman" w:hAnsi="Times New Roman"/>
          <w:sz w:val="24"/>
          <w:szCs w:val="24"/>
        </w:rPr>
      </w:pPr>
      <w:r>
        <w:rPr>
          <w:rFonts w:cs="Garamond" w:ascii="Times New Roman" w:hAnsi="Times New Roman"/>
          <w:b/>
          <w:sz w:val="24"/>
          <w:szCs w:val="24"/>
        </w:rPr>
        <w:t>Considerando</w:t>
      </w:r>
      <w:r>
        <w:rPr>
          <w:rFonts w:cs="Garamond" w:ascii="Times New Roman" w:hAnsi="Times New Roman"/>
          <w:sz w:val="24"/>
          <w:szCs w:val="24"/>
        </w:rPr>
        <w:t xml:space="preserve"> que, </w:t>
      </w:r>
      <w:r>
        <w:rPr>
          <w:rFonts w:cs="Garamond" w:ascii="Times New Roman" w:hAnsi="Times New Roman"/>
          <w:b w:val="false"/>
          <w:bCs w:val="false"/>
          <w:sz w:val="24"/>
          <w:szCs w:val="24"/>
        </w:rPr>
        <w:t>o §3º, do art. 326-A, do Código Eleitoral, estabelece que também incorrerá nas mesmas penas (dois a oito anos e multa) aquele que, comprovadamente ciente da inocência do denunciado e com finalidade eleitoral, divulga ou propala, por qualquer meio ou forma, o ato ou o fato que lhe foi falsamente atribuído;</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pPr>
      <w:r>
        <w:rPr>
          <w:rFonts w:cs="Garamond" w:ascii="Times New Roman" w:hAnsi="Times New Roman"/>
          <w:b/>
          <w:sz w:val="24"/>
          <w:szCs w:val="24"/>
        </w:rPr>
        <w:t>Considerando</w:t>
      </w:r>
      <w:r>
        <w:rPr>
          <w:rFonts w:cs="Garamond" w:ascii="Times New Roman" w:hAnsi="Times New Roman"/>
          <w:sz w:val="24"/>
          <w:szCs w:val="24"/>
        </w:rPr>
        <w:t xml:space="preserve">, ainda, que </w:t>
      </w:r>
      <w:r>
        <w:rPr>
          <w:rFonts w:cs="Garamond" w:ascii="Times New Roman" w:hAnsi="Times New Roman"/>
          <w:b/>
          <w:sz w:val="24"/>
          <w:szCs w:val="24"/>
        </w:rPr>
        <w:t>o artigo 323, do Código Eleitoral, tipifica como crime a conduta de divulgar, na propaganda, fatos que sabe inverídicos (</w:t>
      </w:r>
      <w:r>
        <w:rPr>
          <w:rFonts w:cs="Garamond" w:ascii="Times New Roman" w:hAnsi="Times New Roman"/>
          <w:b/>
          <w:i/>
          <w:sz w:val="24"/>
          <w:szCs w:val="24"/>
        </w:rPr>
        <w:t>Fake News</w:t>
      </w:r>
      <w:r>
        <w:rPr>
          <w:rFonts w:cs="Garamond" w:ascii="Times New Roman" w:hAnsi="Times New Roman"/>
          <w:b/>
          <w:sz w:val="24"/>
          <w:szCs w:val="24"/>
        </w:rPr>
        <w:t>), em relação a partidos ou candidatos e capazes de exercerem influência perante o eleitorado</w:t>
      </w:r>
      <w:r>
        <w:rPr>
          <w:rStyle w:val="FootnoteReference"/>
          <w:rFonts w:cs="Garamond" w:ascii="Times New Roman" w:hAnsi="Times New Roman"/>
          <w:b/>
          <w:sz w:val="24"/>
          <w:szCs w:val="24"/>
        </w:rPr>
        <w:footnoteReference w:id="2"/>
      </w:r>
      <w:r>
        <w:rPr>
          <w:rFonts w:cs="Garamond" w:ascii="Times New Roman" w:hAnsi="Times New Roman"/>
          <w:b/>
          <w:sz w:val="24"/>
          <w:szCs w:val="24"/>
        </w:rPr>
        <w:t>;</w:t>
      </w:r>
    </w:p>
    <w:p>
      <w:pPr>
        <w:pStyle w:val="Normal"/>
        <w:ind w:firstLine="2127" w:end="0"/>
        <w:jc w:val="both"/>
        <w:rPr>
          <w:rFonts w:ascii="Times New Roman" w:hAnsi="Times New Roman" w:cs="Garamond"/>
          <w:b/>
          <w:sz w:val="24"/>
          <w:szCs w:val="24"/>
        </w:rPr>
      </w:pPr>
      <w:r>
        <w:rPr>
          <w:rFonts w:cs="Garamond" w:ascii="Times New Roman" w:hAnsi="Times New Roman"/>
          <w:b/>
          <w:sz w:val="24"/>
          <w:szCs w:val="24"/>
        </w:rPr>
      </w:r>
    </w:p>
    <w:p>
      <w:pPr>
        <w:pStyle w:val="Normal"/>
        <w:ind w:firstLine="2127" w:end="0"/>
        <w:jc w:val="both"/>
        <w:rPr>
          <w:rFonts w:ascii="Times New Roman" w:hAnsi="Times New Roman"/>
          <w:sz w:val="24"/>
          <w:szCs w:val="24"/>
        </w:rPr>
      </w:pPr>
      <w:r>
        <w:rPr>
          <w:rFonts w:cs="Garamond" w:ascii="Times New Roman" w:hAnsi="Times New Roman"/>
          <w:b/>
          <w:sz w:val="24"/>
          <w:szCs w:val="24"/>
        </w:rPr>
        <w:t>Considerando</w:t>
      </w:r>
      <w:r>
        <w:rPr>
          <w:rFonts w:cs="Garamond" w:ascii="Times New Roman" w:hAnsi="Times New Roman"/>
          <w:sz w:val="24"/>
          <w:szCs w:val="24"/>
        </w:rPr>
        <w:t xml:space="preserve"> que a função consultiva é característica extremamente peculiar e própria da Justiça Eleitoral, cuja finalidade é esclarecer determinadas dúvidas, em regra, </w:t>
      </w:r>
      <w:r>
        <w:rPr>
          <w:rFonts w:cs="Garamond" w:ascii="Times New Roman" w:hAnsi="Times New Roman"/>
          <w:b/>
          <w:sz w:val="24"/>
          <w:szCs w:val="24"/>
          <w:u w:val="single"/>
        </w:rPr>
        <w:t>antes do período eleitoral</w:t>
      </w:r>
      <w:r>
        <w:rPr>
          <w:rFonts w:cs="Garamond" w:ascii="Times New Roman" w:hAnsi="Times New Roman"/>
          <w:sz w:val="24"/>
          <w:szCs w:val="24"/>
        </w:rPr>
        <w:t>, tornando explícito o juízo das Cortes Eleitorais, conforme prescreve o Código Eleitoral, art. 23, inciso XIII e art. 30, VIII, mas nunca de casos concretos;</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tabs>
          <w:tab w:val="clear" w:pos="709"/>
          <w:tab w:val="left" w:pos="5911" w:leader="none"/>
        </w:tabs>
        <w:ind w:firstLine="2127" w:end="0"/>
        <w:jc w:val="both"/>
        <w:rPr>
          <w:rFonts w:ascii="Times New Roman" w:hAnsi="Times New Roman"/>
          <w:sz w:val="24"/>
          <w:szCs w:val="24"/>
        </w:rPr>
      </w:pPr>
      <w:r>
        <w:rPr>
          <w:rFonts w:cs="Garamond" w:ascii="Times New Roman" w:hAnsi="Times New Roman"/>
          <w:b/>
          <w:sz w:val="24"/>
          <w:szCs w:val="24"/>
        </w:rPr>
        <w:t>Considerando</w:t>
      </w:r>
      <w:r>
        <w:rPr>
          <w:rFonts w:cs="Garamond" w:ascii="Times New Roman" w:hAnsi="Times New Roman"/>
          <w:sz w:val="24"/>
          <w:szCs w:val="24"/>
        </w:rPr>
        <w:t xml:space="preserve"> que ao Ministério Público não lhe é atribuída a função consultiva, por força do imperativo constitucional (art. 129, IX, da Magna Carta);</w:t>
      </w:r>
    </w:p>
    <w:p>
      <w:pPr>
        <w:pStyle w:val="Normal"/>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sz w:val="24"/>
          <w:szCs w:val="24"/>
        </w:rPr>
        <w:t>Resolve expedir a seguinte</w:t>
      </w:r>
      <w:r>
        <w:rPr>
          <w:rFonts w:cs="Garamond" w:ascii="Times New Roman" w:hAnsi="Times New Roman"/>
          <w:b/>
          <w:bCs/>
          <w:sz w:val="24"/>
          <w:szCs w:val="24"/>
        </w:rPr>
        <w:t xml:space="preserve"> </w:t>
      </w:r>
      <w:r>
        <w:rPr>
          <w:rFonts w:cs="Garamond" w:ascii="Times New Roman" w:hAnsi="Times New Roman"/>
          <w:b/>
          <w:bCs/>
          <w:sz w:val="24"/>
          <w:szCs w:val="24"/>
          <w:u w:val="single"/>
        </w:rPr>
        <w:t>RECOMENDAÇÃO</w:t>
      </w:r>
      <w:r>
        <w:rPr>
          <w:rFonts w:cs="Garamond" w:ascii="Times New Roman" w:hAnsi="Times New Roman"/>
          <w:b/>
          <w:bCs/>
          <w:sz w:val="24"/>
          <w:szCs w:val="24"/>
        </w:rPr>
        <w:t>:</w:t>
      </w:r>
    </w:p>
    <w:p>
      <w:pPr>
        <w:pStyle w:val="Normal"/>
        <w:jc w:val="both"/>
        <w:rPr>
          <w:rFonts w:ascii="Times New Roman" w:hAnsi="Times New Roman" w:cs="Garamond"/>
          <w:b/>
          <w:bCs/>
          <w:sz w:val="24"/>
          <w:szCs w:val="24"/>
        </w:rPr>
      </w:pPr>
      <w:r>
        <w:rPr>
          <w:rFonts w:cs="Garamond" w:ascii="Times New Roman" w:hAnsi="Times New Roman"/>
          <w:b/>
          <w:bCs/>
          <w:sz w:val="24"/>
          <w:szCs w:val="24"/>
        </w:rPr>
      </w:r>
    </w:p>
    <w:p>
      <w:pPr>
        <w:pStyle w:val="Normal"/>
        <w:numPr>
          <w:ilvl w:val="0"/>
          <w:numId w:val="1"/>
        </w:numPr>
        <w:tabs>
          <w:tab w:val="clear" w:pos="709"/>
          <w:tab w:val="left" w:pos="2127" w:leader="none"/>
          <w:tab w:val="left" w:pos="2268" w:leader="none"/>
        </w:tabs>
        <w:jc w:val="both"/>
        <w:rPr>
          <w:rFonts w:ascii="Times New Roman" w:hAnsi="Times New Roman"/>
          <w:sz w:val="24"/>
          <w:szCs w:val="24"/>
        </w:rPr>
      </w:pPr>
      <w:r>
        <w:rPr>
          <w:rFonts w:cs="Garamond" w:ascii="Times New Roman" w:hAnsi="Times New Roman"/>
          <w:sz w:val="24"/>
          <w:szCs w:val="24"/>
        </w:rPr>
        <w:t xml:space="preserve">Aos </w:t>
      </w:r>
      <w:r>
        <w:rPr>
          <w:rFonts w:cs="Garamond" w:ascii="Times New Roman" w:hAnsi="Times New Roman"/>
          <w:sz w:val="24"/>
          <w:szCs w:val="24"/>
          <w:u w:val="single"/>
        </w:rPr>
        <w:t>partidos políticos</w:t>
      </w:r>
      <w:r>
        <w:rPr>
          <w:rFonts w:cs="Garamond" w:ascii="Times New Roman" w:hAnsi="Times New Roman"/>
          <w:sz w:val="24"/>
          <w:szCs w:val="24"/>
        </w:rPr>
        <w:t xml:space="preserve">, </w:t>
      </w:r>
      <w:r>
        <w:rPr>
          <w:rFonts w:cs="Garamond" w:ascii="Times New Roman" w:hAnsi="Times New Roman"/>
          <w:sz w:val="24"/>
          <w:szCs w:val="24"/>
          <w:u w:val="single"/>
        </w:rPr>
        <w:t>coligações</w:t>
      </w:r>
      <w:r>
        <w:rPr>
          <w:rFonts w:cs="Garamond" w:ascii="Times New Roman" w:hAnsi="Times New Roman"/>
          <w:sz w:val="24"/>
          <w:szCs w:val="24"/>
        </w:rPr>
        <w:t xml:space="preserve"> e </w:t>
      </w:r>
      <w:r>
        <w:rPr>
          <w:rFonts w:cs="Garamond" w:ascii="Times New Roman" w:hAnsi="Times New Roman"/>
          <w:sz w:val="24"/>
          <w:szCs w:val="24"/>
          <w:u w:val="single"/>
        </w:rPr>
        <w:t>candidatos</w:t>
      </w:r>
      <w:r>
        <w:rPr>
          <w:rFonts w:cs="Garamond" w:ascii="Times New Roman" w:hAnsi="Times New Roman"/>
          <w:sz w:val="24"/>
          <w:szCs w:val="24"/>
        </w:rPr>
        <w:t xml:space="preserve">, para que nos casos de infração </w:t>
      </w:r>
      <w:r>
        <w:rPr>
          <w:rFonts w:cs="Garamond" w:ascii="Times New Roman" w:hAnsi="Times New Roman"/>
          <w:b/>
          <w:sz w:val="24"/>
          <w:szCs w:val="24"/>
        </w:rPr>
        <w:t>cível</w:t>
      </w:r>
      <w:r>
        <w:rPr>
          <w:rFonts w:cs="Garamond" w:ascii="Times New Roman" w:hAnsi="Times New Roman"/>
          <w:sz w:val="24"/>
          <w:szCs w:val="24"/>
        </w:rPr>
        <w:t xml:space="preserve"> à legislação eleitoral, preferencialmente, </w:t>
      </w:r>
      <w:r>
        <w:rPr>
          <w:rFonts w:cs="Garamond" w:ascii="Times New Roman" w:hAnsi="Times New Roman"/>
          <w:sz w:val="24"/>
          <w:szCs w:val="24"/>
          <w:u w:val="single"/>
        </w:rPr>
        <w:t xml:space="preserve">exerçam </w:t>
      </w:r>
      <w:r>
        <w:rPr>
          <w:rFonts w:cs="Garamond" w:ascii="Times New Roman" w:hAnsi="Times New Roman"/>
          <w:b/>
          <w:bCs/>
          <w:sz w:val="24"/>
          <w:szCs w:val="24"/>
          <w:u w:val="single"/>
        </w:rPr>
        <w:t>diretamente</w:t>
      </w:r>
      <w:r>
        <w:rPr>
          <w:rFonts w:cs="Garamond" w:ascii="Times New Roman" w:hAnsi="Times New Roman"/>
          <w:sz w:val="24"/>
          <w:szCs w:val="24"/>
          <w:u w:val="single"/>
        </w:rPr>
        <w:t xml:space="preserve"> seus direitos e pedidos perante à Justiça Eleitoral pela legitimidade ativa que possuem</w:t>
      </w:r>
      <w:r>
        <w:rPr>
          <w:rFonts w:cs="Garamond" w:ascii="Times New Roman" w:hAnsi="Times New Roman"/>
          <w:sz w:val="24"/>
          <w:szCs w:val="24"/>
        </w:rPr>
        <w:t xml:space="preserve">, nos termos da Lei 64/90, artigos 3º e 22; Lei n.º 9.504/97, art. 96, caput e inciso I e Resolução TSE n.º 23.608/19; sendo que nas infrações </w:t>
      </w:r>
      <w:r>
        <w:rPr>
          <w:rFonts w:cs="Garamond" w:ascii="Times New Roman" w:hAnsi="Times New Roman"/>
          <w:b/>
          <w:sz w:val="24"/>
          <w:szCs w:val="24"/>
        </w:rPr>
        <w:t>penais</w:t>
      </w:r>
      <w:r>
        <w:rPr>
          <w:rFonts w:cs="Garamond" w:ascii="Times New Roman" w:hAnsi="Times New Roman"/>
          <w:sz w:val="24"/>
          <w:szCs w:val="24"/>
        </w:rPr>
        <w:t xml:space="preserve"> devem ser registradas de forma fundamentada e com o maior número de informações possíveis na respectiva Polícia ou encaminhadas ao Ministério Público Eleitoral;</w:t>
      </w:r>
    </w:p>
    <w:p>
      <w:pPr>
        <w:pStyle w:val="Normal"/>
        <w:tabs>
          <w:tab w:val="clear" w:pos="709"/>
          <w:tab w:val="left" w:pos="2410" w:leader="none"/>
        </w:tabs>
        <w:jc w:val="both"/>
        <w:rPr>
          <w:rFonts w:ascii="Times New Roman" w:hAnsi="Times New Roman" w:cs="Garamond"/>
          <w:sz w:val="24"/>
          <w:szCs w:val="24"/>
        </w:rPr>
      </w:pPr>
      <w:r>
        <w:rPr>
          <w:rFonts w:cs="Garamond" w:ascii="Times New Roman" w:hAnsi="Times New Roman"/>
          <w:sz w:val="24"/>
          <w:szCs w:val="24"/>
        </w:rPr>
      </w:r>
    </w:p>
    <w:p>
      <w:pPr>
        <w:pStyle w:val="Normal"/>
        <w:numPr>
          <w:ilvl w:val="0"/>
          <w:numId w:val="1"/>
        </w:numPr>
        <w:tabs>
          <w:tab w:val="clear" w:pos="709"/>
          <w:tab w:val="left" w:pos="2127" w:leader="none"/>
        </w:tabs>
        <w:jc w:val="both"/>
        <w:rPr>
          <w:rFonts w:ascii="Times New Roman" w:hAnsi="Times New Roman"/>
          <w:sz w:val="24"/>
          <w:szCs w:val="24"/>
        </w:rPr>
      </w:pPr>
      <w:r>
        <w:rPr>
          <w:rFonts w:cs="Garamond" w:ascii="Times New Roman" w:hAnsi="Times New Roman"/>
          <w:sz w:val="24"/>
          <w:szCs w:val="24"/>
        </w:rPr>
        <w:t>Aos representantes de órgãos públicos e particulares, entidades de classe, movimentos sociais, organização não governamentais, entre outros, para que, antes de acionar a Polícia, o Ministério Público ou diretamente o Poder Judiciário (ante o poder de polícia desse), analisem com seriedade e zelo os fatos apontados por seus representados, a fim de não fomentarem o “denuncismo eleitoral” e, ainda, não incorrerem nas faltas supramencionadas (crimes);</w:t>
      </w:r>
    </w:p>
    <w:p>
      <w:pPr>
        <w:pStyle w:val="Normal"/>
        <w:ind w:start="2490" w:end="0"/>
        <w:jc w:val="both"/>
        <w:rPr>
          <w:rFonts w:ascii="Times New Roman" w:hAnsi="Times New Roman" w:cs="Garamond"/>
          <w:sz w:val="24"/>
          <w:szCs w:val="24"/>
        </w:rPr>
      </w:pPr>
      <w:r>
        <w:rPr>
          <w:rFonts w:cs="Garamond" w:ascii="Times New Roman" w:hAnsi="Times New Roman"/>
          <w:sz w:val="24"/>
          <w:szCs w:val="24"/>
        </w:rPr>
      </w:r>
    </w:p>
    <w:p>
      <w:pPr>
        <w:pStyle w:val="Normal"/>
        <w:numPr>
          <w:ilvl w:val="0"/>
          <w:numId w:val="1"/>
        </w:numPr>
        <w:tabs>
          <w:tab w:val="clear" w:pos="709"/>
          <w:tab w:val="left" w:pos="2127" w:leader="none"/>
        </w:tabs>
        <w:jc w:val="both"/>
        <w:rPr>
          <w:rFonts w:ascii="Times New Roman" w:hAnsi="Times New Roman"/>
          <w:sz w:val="24"/>
          <w:szCs w:val="24"/>
        </w:rPr>
      </w:pPr>
      <w:r>
        <w:rPr>
          <w:rFonts w:cs="Garamond" w:ascii="Times New Roman" w:hAnsi="Times New Roman"/>
          <w:sz w:val="24"/>
          <w:szCs w:val="24"/>
        </w:rPr>
        <w:t xml:space="preserve">Aos partidos políticos, coligações, candidatos e representantes de órgãos públicos, para que tomem conhecimento de que ao Ministério Público não é atribuída a função consultiva (art. 129, IX, da Magna Carta c.c artigos 23, inciso XIII e 30, VIII, do Código Eleitoral), razão pela qual qualquer consulta, porventura protocolada ou solicitada nesta Promotoria de Justiça sobre o pleito eleitoral, será considerada inviável de análise por este </w:t>
      </w:r>
      <w:r>
        <w:rPr>
          <w:rFonts w:cs="Garamond" w:ascii="Times New Roman" w:hAnsi="Times New Roman"/>
          <w:i/>
          <w:sz w:val="24"/>
          <w:szCs w:val="24"/>
        </w:rPr>
        <w:t xml:space="preserve">Parquet </w:t>
      </w:r>
      <w:r>
        <w:rPr>
          <w:rFonts w:cs="Garamond" w:ascii="Times New Roman" w:hAnsi="Times New Roman"/>
          <w:sz w:val="24"/>
          <w:szCs w:val="24"/>
        </w:rPr>
        <w:t>e, por consequência, não conhecida. Eventuais dúvidas de partidos, coligações e candidatos devem ser encaminhadas às respectivas assessorias jurídicas.</w:t>
      </w:r>
    </w:p>
    <w:p>
      <w:pPr>
        <w:pStyle w:val="Normal"/>
        <w:ind w:firstLine="2124"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sz w:val="24"/>
          <w:szCs w:val="24"/>
        </w:rPr>
        <w:t>Dê-se ciência aos Ilmos. Presidentes dos Partidos Políticos de Lagoa de Itaenga, e, para efeitos elucidativos, ao Meritíssimo Juiz Eleitoral.</w:t>
      </w:r>
    </w:p>
    <w:p>
      <w:pPr>
        <w:pStyle w:val="Normal"/>
        <w:ind w:firstLine="2127" w:end="0"/>
        <w:jc w:val="both"/>
        <w:rPr>
          <w:rFonts w:ascii="Times New Roman" w:hAnsi="Times New Roman" w:cs="Garamond"/>
          <w:sz w:val="24"/>
          <w:szCs w:val="24"/>
        </w:rPr>
      </w:pPr>
      <w:r>
        <w:rPr>
          <w:rFonts w:cs="Garamond" w:ascii="Times New Roman" w:hAnsi="Times New Roman"/>
          <w:sz w:val="24"/>
          <w:szCs w:val="24"/>
        </w:rPr>
      </w:r>
    </w:p>
    <w:p>
      <w:pPr>
        <w:pStyle w:val="Normal"/>
        <w:ind w:firstLine="2127" w:end="0"/>
        <w:jc w:val="both"/>
        <w:rPr>
          <w:rFonts w:ascii="Times New Roman" w:hAnsi="Times New Roman"/>
          <w:sz w:val="24"/>
          <w:szCs w:val="24"/>
        </w:rPr>
      </w:pPr>
      <w:r>
        <w:rPr>
          <w:rFonts w:cs="Garamond" w:ascii="Times New Roman" w:hAnsi="Times New Roman"/>
          <w:b w:val="false"/>
          <w:i w:val="false"/>
          <w:caps w:val="false"/>
          <w:smallCaps w:val="false"/>
          <w:strike w:val="false"/>
          <w:dstrike w:val="false"/>
          <w:color w:val="000000"/>
          <w:sz w:val="24"/>
          <w:szCs w:val="24"/>
          <w:u w:val="none"/>
        </w:rPr>
        <w:t>Publique-se, também, no Diário Oficial Eletrônico.</w:t>
      </w:r>
    </w:p>
    <w:p>
      <w:pPr>
        <w:pStyle w:val="BodyText"/>
        <w:bidi w:val="0"/>
        <w:jc w:val="start"/>
        <w:rPr>
          <w:rFonts w:ascii="Times New Roman" w:hAnsi="Times New Roman"/>
          <w:color w:val="000000"/>
          <w:sz w:val="24"/>
          <w:szCs w:val="24"/>
        </w:rPr>
      </w:pPr>
      <w:r>
        <w:rPr>
          <w:rFonts w:ascii="Times New Roman" w:hAnsi="Times New Roman"/>
          <w:color w:val="000000"/>
          <w:sz w:val="24"/>
          <w:szCs w:val="24"/>
        </w:rPr>
      </w:r>
    </w:p>
    <w:p>
      <w:pPr>
        <w:pStyle w:val="Normal"/>
        <w:bidi w:val="0"/>
        <w:ind w:firstLine="2160" w:end="0"/>
        <w:jc w:val="both"/>
        <w:rPr>
          <w:rFonts w:ascii="Times New Roman" w:hAnsi="Times New Roman"/>
          <w:sz w:val="24"/>
          <w:szCs w:val="24"/>
        </w:rPr>
      </w:pPr>
      <w:r>
        <w:rPr>
          <w:rFonts w:cs="Spranq eco sans" w:ascii="Times New Roman" w:hAnsi="Times New Roman"/>
          <w:color w:val="000000"/>
          <w:sz w:val="24"/>
          <w:szCs w:val="24"/>
        </w:rPr>
        <w:t>Feir</w:t>
      </w:r>
      <w:r>
        <w:rPr>
          <w:rFonts w:eastAsia="Spranq eco sans" w:cs="Spranq eco sans" w:ascii="Times New Roman" w:hAnsi="Times New Roman"/>
          <w:color w:val="000000"/>
          <w:sz w:val="24"/>
          <w:szCs w:val="24"/>
        </w:rPr>
        <w:t>a</w:t>
      </w:r>
      <w:r>
        <w:rPr>
          <w:rFonts w:cs="Spranq eco sans" w:ascii="Times New Roman" w:hAnsi="Times New Roman"/>
          <w:color w:val="000000"/>
          <w:sz w:val="24"/>
          <w:szCs w:val="24"/>
        </w:rPr>
        <w:t xml:space="preserve"> N</w:t>
      </w:r>
      <w:r>
        <w:rPr>
          <w:rFonts w:eastAsia="Spranq eco sans" w:cs="Spranq eco sans" w:ascii="Times New Roman" w:hAnsi="Times New Roman"/>
          <w:color w:val="000000"/>
          <w:sz w:val="24"/>
          <w:szCs w:val="24"/>
        </w:rPr>
        <w:t>o</w:t>
      </w:r>
      <w:r>
        <w:rPr>
          <w:rFonts w:cs="Spranq eco sans" w:ascii="Times New Roman" w:hAnsi="Times New Roman"/>
          <w:color w:val="000000"/>
          <w:sz w:val="24"/>
          <w:szCs w:val="24"/>
        </w:rPr>
        <w:t>va,</w:t>
      </w:r>
      <w:r>
        <w:rPr>
          <w:rFonts w:eastAsia="Spranq eco sans" w:cs="Spranq eco sans" w:ascii="Times New Roman" w:hAnsi="Times New Roman"/>
          <w:color w:val="000000"/>
          <w:sz w:val="24"/>
          <w:szCs w:val="24"/>
        </w:rPr>
        <w:t xml:space="preserve"> 01 de agosto </w:t>
      </w:r>
      <w:r>
        <w:rPr>
          <w:rFonts w:cs="Spranq eco sans" w:ascii="Times New Roman" w:hAnsi="Times New Roman"/>
          <w:color w:val="000000"/>
          <w:sz w:val="24"/>
          <w:szCs w:val="24"/>
        </w:rPr>
        <w:t>de</w:t>
      </w:r>
      <w:r>
        <w:rPr>
          <w:rFonts w:eastAsia="Spranq eco sans" w:cs="Spranq eco sans" w:ascii="Times New Roman" w:hAnsi="Times New Roman"/>
          <w:color w:val="000000"/>
          <w:sz w:val="24"/>
          <w:szCs w:val="24"/>
        </w:rPr>
        <w:t xml:space="preserve"> </w:t>
      </w:r>
      <w:r>
        <w:rPr>
          <w:rFonts w:cs="Spranq eco sans" w:ascii="Times New Roman" w:hAnsi="Times New Roman"/>
          <w:color w:val="000000"/>
          <w:sz w:val="24"/>
          <w:szCs w:val="24"/>
        </w:rPr>
        <w:t>2024.</w:t>
      </w:r>
    </w:p>
    <w:p>
      <w:pPr>
        <w:pStyle w:val="Normal"/>
        <w:bidi w:val="0"/>
        <w:ind w:firstLine="2160" w:end="0"/>
        <w:jc w:val="both"/>
        <w:rPr>
          <w:rFonts w:cs="Spranq eco sans"/>
          <w:color w:val="000000"/>
        </w:rPr>
      </w:pPr>
      <w:r>
        <w:rPr>
          <w:rFonts w:cs="Spranq eco sans"/>
          <w:color w:val="000000"/>
        </w:rPr>
      </w:r>
    </w:p>
    <w:p>
      <w:pPr>
        <w:pStyle w:val="Normal"/>
        <w:bidi w:val="0"/>
        <w:ind w:firstLine="2160" w:end="0"/>
        <w:jc w:val="both"/>
        <w:rPr>
          <w:rFonts w:cs="Spranq eco sans"/>
          <w:color w:val="000000"/>
        </w:rPr>
      </w:pPr>
      <w:r>
        <w:rPr>
          <w:rFonts w:cs="Spranq eco sans"/>
          <w:color w:val="000000"/>
        </w:rPr>
      </w:r>
    </w:p>
    <w:p>
      <w:pPr>
        <w:pStyle w:val="Normal"/>
        <w:bidi w:val="0"/>
        <w:ind w:firstLine="2160" w:end="0"/>
        <w:jc w:val="both"/>
        <w:rPr>
          <w:rFonts w:cs="Spranq eco sans"/>
          <w:color w:val="000000"/>
        </w:rPr>
      </w:pPr>
      <w:r>
        <w:rPr>
          <w:rFonts w:cs="Spranq eco sans"/>
          <w:color w:val="000000"/>
        </w:rPr>
      </w:r>
    </w:p>
    <w:p>
      <w:pPr>
        <w:pStyle w:val="Normal"/>
        <w:bidi w:val="0"/>
        <w:ind w:firstLine="2160" w:end="0"/>
        <w:jc w:val="both"/>
        <w:rPr>
          <w:rFonts w:ascii="Times New Roman" w:hAnsi="Times New Roman"/>
          <w:color w:val="000000"/>
          <w:sz w:val="24"/>
          <w:szCs w:val="24"/>
        </w:rPr>
      </w:pPr>
      <w:r>
        <w:rPr>
          <w:rFonts w:ascii="Times New Roman" w:hAnsi="Times New Roman"/>
          <w:color w:val="000000"/>
          <w:sz w:val="24"/>
          <w:szCs w:val="24"/>
        </w:rPr>
      </w:r>
    </w:p>
    <w:p>
      <w:pPr>
        <w:pStyle w:val="Normal"/>
        <w:widowControl/>
        <w:suppressAutoHyphens w:val="true"/>
        <w:bidi w:val="0"/>
        <w:ind w:hanging="0" w:start="0" w:end="0"/>
        <w:jc w:val="center"/>
        <w:rPr>
          <w:rFonts w:ascii="Times New Roman" w:hAnsi="Times New Roman"/>
          <w:sz w:val="24"/>
          <w:szCs w:val="24"/>
        </w:rPr>
      </w:pPr>
      <w:r>
        <w:rPr>
          <w:rFonts w:cs="Spranq eco sans" w:ascii="Times New Roman" w:hAnsi="Times New Roman"/>
          <w:b/>
          <w:color w:val="000000"/>
          <w:sz w:val="24"/>
          <w:szCs w:val="24"/>
        </w:rPr>
        <w:t>ANDREIA APARECIDA MOURA DO COUTO</w:t>
      </w:r>
    </w:p>
    <w:p>
      <w:pPr>
        <w:pStyle w:val="Normal"/>
        <w:widowControl/>
        <w:suppressAutoHyphens w:val="true"/>
        <w:bidi w:val="0"/>
        <w:spacing w:lineRule="auto" w:line="240" w:before="113" w:after="113"/>
        <w:ind w:hanging="0" w:start="0" w:end="0"/>
        <w:jc w:val="center"/>
        <w:rPr>
          <w:rFonts w:ascii="Times New Roman" w:hAnsi="Times New Roman"/>
          <w:sz w:val="24"/>
          <w:szCs w:val="24"/>
        </w:rPr>
      </w:pPr>
      <w:r>
        <w:rPr>
          <w:rFonts w:eastAsia="Times New Roman" w:cs="Spranq eco sans" w:ascii="Times New Roman" w:hAnsi="Times New Roman"/>
          <w:b/>
          <w:color w:val="000000"/>
          <w:sz w:val="24"/>
          <w:szCs w:val="24"/>
        </w:rPr>
        <w:t>Promotora</w:t>
      </w:r>
      <w:r>
        <w:rPr>
          <w:rFonts w:eastAsia="Spranq eco sans" w:cs="Spranq eco sans" w:ascii="Times New Roman" w:hAnsi="Times New Roman"/>
          <w:b/>
          <w:color w:val="000000"/>
          <w:sz w:val="24"/>
          <w:szCs w:val="24"/>
        </w:rPr>
        <w:t xml:space="preserve"> Eleitoral</w:t>
      </w:r>
    </w:p>
    <w:sectPr>
      <w:headerReference w:type="even" r:id="rId2"/>
      <w:headerReference w:type="default" r:id="rId3"/>
      <w:headerReference w:type="first" r:id="rId4"/>
      <w:footnotePr>
        <w:numFmt w:val="decimal"/>
      </w:footnotePr>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Caracteresdenotaderodap"/>
        </w:rPr>
        <w:footnoteRef/>
      </w:r>
      <w:r>
        <w:rPr/>
        <w:tab/>
        <w:t xml:space="preserve"> </w:t>
      </w:r>
      <w:r>
        <w:rPr>
          <w:rFonts w:cs="Arial" w:ascii="Arial" w:hAnsi="Arial"/>
          <w:i/>
        </w:rPr>
        <w:t>Ac.-TSE, de 25.6.2015, no AgR-RMS nº 10404: o tipo penal indicado não exige que os fatos tenham potencial para definir a eleição, bastando que sejam “capazes de exercerem influência perante o eleitorado”.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1" distT="0" distB="0" distL="0" distR="0" simplePos="0" locked="0" layoutInCell="0" allowOverlap="1" relativeHeight="4">
          <wp:simplePos x="0" y="0"/>
          <wp:positionH relativeFrom="column">
            <wp:posOffset>-360045</wp:posOffset>
          </wp:positionH>
          <wp:positionV relativeFrom="paragraph">
            <wp:posOffset>-316230</wp:posOffset>
          </wp:positionV>
          <wp:extent cx="6840220" cy="807720"/>
          <wp:effectExtent l="0" t="0" r="0" b="0"/>
          <wp:wrapSquare wrapText="largest"/>
          <wp:docPr id="1" name="Figura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title=""/>
                  <pic:cNvPicPr>
                    <a:picLocks noChangeAspect="1" noChangeArrowheads="1"/>
                  </pic:cNvPicPr>
                </pic:nvPicPr>
                <pic:blipFill>
                  <a:blip r:embed="rId1"/>
                  <a:stretch>
                    <a:fillRect/>
                  </a:stretch>
                </pic:blipFill>
                <pic:spPr bwMode="auto">
                  <a:xfrm>
                    <a:off x="0" y="0"/>
                    <a:ext cx="6840220" cy="80772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1" distT="0" distB="0" distL="0" distR="0" simplePos="0" locked="0" layoutInCell="0" allowOverlap="1" relativeHeight="4">
          <wp:simplePos x="0" y="0"/>
          <wp:positionH relativeFrom="column">
            <wp:posOffset>-360045</wp:posOffset>
          </wp:positionH>
          <wp:positionV relativeFrom="paragraph">
            <wp:posOffset>-316230</wp:posOffset>
          </wp:positionV>
          <wp:extent cx="6840220" cy="807720"/>
          <wp:effectExtent l="0" t="0" r="0" b="0"/>
          <wp:wrapSquare wrapText="largest"/>
          <wp:docPr id="2" name="Figura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title=""/>
                  <pic:cNvPicPr>
                    <a:picLocks noChangeAspect="1" noChangeArrowheads="1"/>
                  </pic:cNvPicPr>
                </pic:nvPicPr>
                <pic:blipFill>
                  <a:blip r:embed="rId1"/>
                  <a:stretch>
                    <a:fillRect/>
                  </a:stretch>
                </pic:blipFill>
                <pic:spPr bwMode="auto">
                  <a:xfrm>
                    <a:off x="0" y="0"/>
                    <a:ext cx="6840220" cy="8077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2490"/>
        </w:tabs>
        <w:ind w:start="2490" w:hanging="360"/>
      </w:pPr>
      <w:rPr>
        <w:b/>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pt-BR" w:eastAsia="zh-CN" w:bidi="hi-IN"/>
    </w:rPr>
  </w:style>
  <w:style w:type="character" w:styleId="Caracteresdenotaderodap">
    <w:name w:val="Caracteres de nota de rodapé"/>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styleId="Caracteresdenotadefim">
    <w:name w:val="Caracteres de nota de fim"/>
    <w:qFormat/>
    <w:rPr>
      <w:vertAlign w:val="superscript"/>
    </w:rPr>
  </w:style>
  <w:style w:type="character" w:styleId="EndnoteReference">
    <w:name w:val="Endnote Reference"/>
    <w:rPr>
      <w:vertAlign w:val="superscript"/>
    </w:rPr>
  </w:style>
  <w:style w:type="character" w:styleId="WW8Num10z0">
    <w:name w:val="WW8Num10z0"/>
    <w:qFormat/>
    <w:rPr>
      <w:b/>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Header">
    <w:name w:val="Header"/>
    <w:basedOn w:val="CabealhoeRodap"/>
    <w:pPr>
      <w:suppressLineNumbers/>
    </w:pPr>
    <w:rPr/>
  </w:style>
  <w:style w:type="paragraph" w:styleId="FootnoteText">
    <w:name w:val="Footnote Text"/>
    <w:basedOn w:val="Normal"/>
    <w:pPr>
      <w:suppressLineNumbers/>
      <w:ind w:hanging="340" w:start="340"/>
    </w:pPr>
    <w:rPr>
      <w:sz w:val="20"/>
      <w:szCs w:val="20"/>
    </w:rPr>
  </w:style>
  <w:style w:type="numbering" w:styleId="WW8Num10">
    <w:name w:val="WW8Num10"/>
    <w:qFormat/>
  </w:style>
</w:style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header" Target="header2.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header" Target="header3.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8dea2c-9e03-4392-bdbc-4ea5ca3d5cc3" xsi:nil="true"/>
    <lcf76f155ced4ddcb4097134ff3c332f xmlns="5dfd12f6-325d-4b0a-87cf-4bbc7d4ef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D149E0-8C42-43EE-B7BA-7A2B89D70AB9}"/>
</file>

<file path=customXml/itemProps2.xml><?xml version="1.0" encoding="utf-8"?>
<ds:datastoreItem xmlns:ds="http://schemas.openxmlformats.org/officeDocument/2006/customXml" ds:itemID="{D80D4576-B8A0-41DB-A69A-77014880590C}"/>
</file>

<file path=customXml/itemProps3.xml><?xml version="1.0" encoding="utf-8"?>
<ds:datastoreItem xmlns:ds="http://schemas.openxmlformats.org/officeDocument/2006/customXml" ds:itemID="{71310B04-704E-4800-8883-B47ADBB252CD}"/>
</file>

<file path=docProps/app.xml><?xml version="1.0" encoding="utf-8"?>
<Properties xmlns="http://schemas.openxmlformats.org/officeDocument/2006/extended-properties" xmlns:vt="http://schemas.openxmlformats.org/officeDocument/2006/docPropsVTypes">
  <Template/>
  <TotalTime>34</TotalTime>
  <Application>LibreOffice/7.6.6.3$Windows_X86_64 LibreOffice_project/d97b2716a9a4a2ce1391dee1765565ea469b0ae7</Application>
  <AppVersion>15.0000</AppVersion>
  <Pages>3</Pages>
  <Words>1098</Words>
  <Characters>6384</Characters>
  <CharactersWithSpaces>7450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2024-03-08T15:14:43Z</dcterms:created>
  <dc:creator/>
  <dc:description/>
  <dc:language>pt-BR</dc:language>
  <cp:lastModifiedBy/>
  <dcterms:modified xsi:type="dcterms:W3CDTF">2024-08-01T11:31:39Z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0x01010091AAEA1D13368F49BD1E9AF557B622A1</vt:lpwstr>
  </property>
</Properties>
</file>